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40"/>
        </w:rPr>
        <w:t>Plano de resposta a incidentes de seguranca</w:t>
      </w:r>
    </w:p>
    <w:p>
      <w:r>
        <w:br w:type="page"/>
      </w:r>
    </w:p>
    <w:p>
      <w:pPr>
        <w:pStyle w:val="Heading1"/>
      </w:pPr>
      <w:r>
        <w:t>1. Objectivo</w:t>
      </w:r>
    </w:p>
    <w:p>
      <w:r>
        <w:t>Definir os procedimentos para deteccao, contencao, erradicacao e recuperacao de incidentes de seguranca da informacao.</w:t>
      </w:r>
    </w:p>
    <w:p>
      <w:pPr>
        <w:pStyle w:val="Heading1"/>
      </w:pPr>
      <w:r>
        <w:t>2. Classificacao de severidade</w:t>
      </w:r>
    </w:p>
    <w:p>
      <w:r>
        <w:t>- Critica (S1): comprometimento de dados sensiveis, indisponibilidade de servicos criticos.</w:t>
        <w:br/>
        <w:t>- Alta (S2): tentativa de intrusao bem-sucedida, malware activo.</w:t>
        <w:br/>
        <w:t>- Media (S3): violacao de politica sem exposicao de dados.</w:t>
        <w:br/>
        <w:t>- Baixa (S4): evento suspeito sem impacto confirmado.</w:t>
      </w:r>
    </w:p>
    <w:p>
      <w:pPr>
        <w:pStyle w:val="Heading1"/>
      </w:pPr>
      <w:r>
        <w:t>3. Equipa de resposta</w:t>
      </w:r>
    </w:p>
    <w:p>
      <w:r>
        <w:t>- Security manager (coordenador)</w:t>
        <w:br/>
        <w:t>- Equipa tecnica de seguranca</w:t>
        <w:br/>
        <w:t>- Representante da area afectada</w:t>
        <w:br/>
        <w:t>- DPO (se dados pessoais envolvidos)</w:t>
        <w:br/>
        <w:t>- Comunicacao corporativa (se necessario)</w:t>
        <w:br/>
        <w:t>- Assessoria juridica (se necessario)</w:t>
      </w:r>
    </w:p>
    <w:p>
      <w:pPr>
        <w:pStyle w:val="Heading1"/>
      </w:pPr>
      <w:r>
        <w:t>4. Procedimento de resposta</w:t>
      </w:r>
    </w:p>
    <w:p>
      <w:r>
        <w:t>4.1 Deteccao e reporte</w:t>
        <w:br/>
        <w:t>- Qualquer colaborador que detecte um incidente deve reportar imediatamente.</w:t>
        <w:br/>
        <w:br/>
        <w:t>4.2 Triagem e classificacao</w:t>
        <w:br/>
        <w:t>- O security manager avalia e classifica a severidade.</w:t>
        <w:br/>
        <w:br/>
        <w:t>4.3 Contencao</w:t>
        <w:br/>
        <w:t>- Isolar sistemas afectados para prevenir propagacao.</w:t>
        <w:br/>
        <w:t>- Preservar evidencias (logs, imagens de disco).</w:t>
        <w:br/>
        <w:br/>
        <w:t>4.4 Erradicacao</w:t>
        <w:br/>
        <w:t>- Identificar e remover a causa do incidente.</w:t>
        <w:br/>
        <w:br/>
        <w:t>4.5 Recuperacao</w:t>
        <w:br/>
        <w:t>- Restaurar sistemas e servicos afectados.</w:t>
        <w:br/>
        <w:t>- Verificar integridade dos dados.</w:t>
        <w:br/>
        <w:br/>
        <w:t>4.6 Licoes aprendidas</w:t>
        <w:br/>
        <w:t>- Conduzir analise pos-incidente em 5 dias uteis.</w:t>
      </w:r>
    </w:p>
    <w:p>
      <w:pPr>
        <w:pStyle w:val="Heading1"/>
      </w:pPr>
      <w:r>
        <w:t>5. Notificacao regulamentar</w:t>
      </w:r>
    </w:p>
    <w:p>
      <w:r>
        <w:t>- RGPD: notificar a CNPD em 72 horas se dados pessoais forem comprometidos.</w:t>
        <w:br/>
        <w:t>- NIS2: notificar a autoridade competente conforme os prazos definidos.</w:t>
        <w:br/>
        <w:t>- Comunicar aos titulares dos dados se o risco for elevado (RGPD Art. 34).</w:t>
      </w:r>
    </w:p>
    <w:p>
      <w:pPr>
        <w:pStyle w:val="Heading1"/>
      </w:pPr>
      <w:r>
        <w:t>6. Comunicacao</w:t>
      </w:r>
    </w:p>
    <w:p>
      <w:r>
        <w:t>- Interna: informar gestao e areas afectadas.</w:t>
        <w:br/>
        <w:t>- Externa: comunicacao publica apenas apos autorizacao da gestao.</w:t>
        <w:br/>
        <w:t>- Reguladores: conforme obrigacoes legais.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