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56"/>
        </w:rPr>
        <w:t>Better</w:t>
      </w:r>
      <w:r>
        <w:rPr>
          <w:b/>
          <w:color w:val="0099FF"/>
          <w:sz w:val="56"/>
        </w:rPr>
        <w:t>Skills</w:t>
      </w:r>
    </w:p>
    <w:p/>
    <w:p>
      <w:pPr>
        <w:jc w:val="center"/>
      </w:pPr>
      <w:r>
        <w:rPr>
          <w:b/>
          <w:color w:val="1B3A5C"/>
          <w:sz w:val="44"/>
        </w:rPr>
        <w:t>Gestão de pedidos de serviço</w:t>
      </w:r>
    </w:p>
    <w:p>
      <w:pPr>
        <w:jc w:val="center"/>
      </w:pPr>
      <w:r>
        <w:rPr>
          <w:color w:val="64748B"/>
          <w:sz w:val="26"/>
        </w:rPr>
        <w:t>Processo end-to-end - Manual de processo</w:t>
      </w:r>
    </w:p>
    <w:p/>
    <w:p/>
    <w:p/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E0F2FE"/>
          </w:tcPr>
          <w:p>
            <w:r>
              <w:rPr>
                <w:b/>
                <w:color w:val="1B3A5C"/>
              </w:rPr>
              <w:t>Versão</w:t>
            </w:r>
          </w:p>
        </w:tc>
        <w:tc>
          <w:tcPr>
            <w:tcW w:type="dxa" w:w="4561"/>
          </w:tcPr>
          <w:p>
            <w:r>
              <w:t>1.0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>
              <w:rPr>
                <w:b/>
                <w:color w:val="1B3A5C"/>
              </w:rPr>
              <w:t>Data</w:t>
            </w:r>
          </w:p>
        </w:tc>
        <w:tc>
          <w:tcPr>
            <w:tcW w:type="dxa" w:w="4561"/>
          </w:tcPr>
          <w:p>
            <w:r>
              <w:t>Março 2026</w:t>
            </w:r>
          </w:p>
        </w:tc>
      </w:tr>
    </w:tbl>
    <w:p>
      <w:r>
        <w:br w:type="page"/>
      </w:r>
    </w:p>
    <w:p>
      <w:pPr>
        <w:spacing w:before="240" w:after="120"/>
      </w:pPr>
      <w:r>
        <w:rPr>
          <w:b/>
          <w:color w:val="1B3A5C"/>
          <w:sz w:val="28"/>
        </w:rPr>
        <w:t>Controlo de versões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80"/>
        <w:gridCol w:w="2280"/>
        <w:gridCol w:w="2280"/>
        <w:gridCol w:w="2280"/>
      </w:tblGrid>
      <w:tr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1.0</w:t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2026-03-25</w:t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João Rodrigues</w:t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Versão inicial</w:t>
            </w:r>
          </w:p>
        </w:tc>
      </w:tr>
      <w:tr>
        <w:tc>
          <w:tcPr>
            <w:tcW w:type="dxa" w:w="2280"/>
            <w:shd w:val="clear" w:color="auto" w:fill="F8FAFC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8FAFC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8FAFC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8FAFC"/>
          </w:tcPr>
          <w:p>
            <w:r/>
            <w:r>
              <w:rPr>
                <w:color w:val="1E293B"/>
                <w:sz w:val="20"/>
              </w:rPr>
            </w:r>
          </w:p>
        </w:tc>
      </w:tr>
      <w:tr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</w:r>
          </w:p>
        </w:tc>
      </w:tr>
    </w:tbl>
    <w:p/>
    <w:p>
      <w:pPr>
        <w:spacing w:before="240" w:after="120"/>
      </w:pPr>
      <w:r>
        <w:rPr>
          <w:b/>
          <w:color w:val="1B3A5C"/>
          <w:sz w:val="28"/>
        </w:rPr>
        <w:t>Índice</w:t>
      </w:r>
    </w:p>
    <w:p>
      <w:pPr>
        <w:spacing w:after="60"/>
      </w:pPr>
      <w:r>
        <w:rPr>
          <w:b/>
          <w:color w:val="1B3A5C"/>
          <w:sz w:val="22"/>
        </w:rPr>
        <w:t xml:space="preserve">1. </w:t>
      </w:r>
      <w:r>
        <w:rPr>
          <w:color w:val="1E293B"/>
          <w:sz w:val="22"/>
        </w:rPr>
        <w:t>Objectivo e âmbito</w:t>
      </w:r>
    </w:p>
    <w:p>
      <w:pPr>
        <w:spacing w:after="60"/>
      </w:pPr>
      <w:r>
        <w:rPr>
          <w:b/>
          <w:color w:val="1B3A5C"/>
          <w:sz w:val="22"/>
        </w:rPr>
        <w:t xml:space="preserve">2. </w:t>
      </w:r>
      <w:r>
        <w:rPr>
          <w:color w:val="1E293B"/>
          <w:sz w:val="22"/>
        </w:rPr>
        <w:t>Definições e conceitos</w:t>
      </w:r>
    </w:p>
    <w:p>
      <w:pPr>
        <w:spacing w:after="60"/>
      </w:pPr>
      <w:r>
        <w:rPr>
          <w:b/>
          <w:color w:val="1B3A5C"/>
          <w:sz w:val="22"/>
        </w:rPr>
        <w:t xml:space="preserve">3. </w:t>
      </w:r>
      <w:r>
        <w:rPr>
          <w:color w:val="1E293B"/>
          <w:sz w:val="22"/>
        </w:rPr>
        <w:t>Modelos de fulfillment</w:t>
      </w:r>
    </w:p>
    <w:p>
      <w:pPr>
        <w:spacing w:after="60"/>
      </w:pPr>
      <w:r>
        <w:rPr>
          <w:b/>
          <w:color w:val="1B3A5C"/>
          <w:sz w:val="22"/>
        </w:rPr>
        <w:t xml:space="preserve">4. </w:t>
      </w:r>
      <w:r>
        <w:rPr>
          <w:color w:val="1E293B"/>
          <w:sz w:val="22"/>
        </w:rPr>
        <w:t>Catálogo de serviços</w:t>
      </w:r>
    </w:p>
    <w:p>
      <w:pPr>
        <w:spacing w:after="60"/>
      </w:pPr>
      <w:r>
        <w:rPr>
          <w:b/>
          <w:color w:val="1B3A5C"/>
          <w:sz w:val="22"/>
        </w:rPr>
        <w:t xml:space="preserve">5. </w:t>
      </w:r>
      <w:r>
        <w:rPr>
          <w:color w:val="1E293B"/>
          <w:sz w:val="22"/>
        </w:rPr>
        <w:t>Diagrama do processo (BPMN)</w:t>
      </w:r>
    </w:p>
    <w:p>
      <w:pPr>
        <w:spacing w:after="60"/>
      </w:pPr>
      <w:r>
        <w:rPr>
          <w:b/>
          <w:color w:val="1B3A5C"/>
          <w:sz w:val="22"/>
        </w:rPr>
        <w:t xml:space="preserve">6. </w:t>
      </w:r>
      <w:r>
        <w:rPr>
          <w:color w:val="1E293B"/>
          <w:sz w:val="22"/>
        </w:rPr>
        <w:t>Descrição das actividades</w:t>
      </w:r>
    </w:p>
    <w:p>
      <w:pPr>
        <w:spacing w:after="60"/>
      </w:pPr>
      <w:r>
        <w:rPr>
          <w:b/>
          <w:color w:val="1B3A5C"/>
          <w:sz w:val="22"/>
        </w:rPr>
        <w:t xml:space="preserve">7. </w:t>
      </w:r>
      <w:r>
        <w:rPr>
          <w:color w:val="1E293B"/>
          <w:sz w:val="22"/>
        </w:rPr>
        <w:t>Modelo RACI</w:t>
      </w:r>
    </w:p>
    <w:p>
      <w:pPr>
        <w:spacing w:after="60"/>
      </w:pPr>
      <w:r>
        <w:rPr>
          <w:b/>
          <w:color w:val="1B3A5C"/>
          <w:sz w:val="22"/>
        </w:rPr>
        <w:t xml:space="preserve">8. </w:t>
      </w:r>
      <w:r>
        <w:rPr>
          <w:color w:val="1E293B"/>
          <w:sz w:val="22"/>
        </w:rPr>
        <w:t>Métricas e KPIs</w:t>
      </w:r>
    </w:p>
    <w:p>
      <w:pPr>
        <w:spacing w:after="60"/>
      </w:pPr>
      <w:r>
        <w:rPr>
          <w:b/>
          <w:color w:val="1B3A5C"/>
          <w:sz w:val="22"/>
        </w:rPr>
        <w:t xml:space="preserve">9. </w:t>
      </w:r>
      <w:r>
        <w:rPr>
          <w:color w:val="1E293B"/>
          <w:sz w:val="22"/>
        </w:rPr>
        <w:t>Interfaces com outros processos</w:t>
      </w:r>
    </w:p>
    <w:p>
      <w:pPr>
        <w:spacing w:after="60"/>
      </w:pPr>
      <w:r>
        <w:rPr>
          <w:b/>
          <w:color w:val="1B3A5C"/>
          <w:sz w:val="22"/>
        </w:rPr>
        <w:t xml:space="preserve">10. </w:t>
      </w:r>
      <w:r>
        <w:rPr>
          <w:color w:val="1E293B"/>
          <w:sz w:val="22"/>
        </w:rPr>
        <w:t>Ferramentas e sistemas</w:t>
      </w:r>
    </w:p>
    <w:p>
      <w:pPr>
        <w:spacing w:after="60"/>
      </w:pPr>
      <w:r>
        <w:rPr>
          <w:b/>
          <w:color w:val="1B3A5C"/>
          <w:sz w:val="22"/>
        </w:rPr>
        <w:t xml:space="preserve">11. </w:t>
      </w:r>
      <w:r>
        <w:rPr>
          <w:color w:val="1E293B"/>
          <w:sz w:val="22"/>
        </w:rPr>
        <w:t>Melhoria contínua</w:t>
      </w:r>
    </w:p>
    <w:p>
      <w:r>
        <w:br w:type="page"/>
      </w:r>
    </w:p>
    <w:p>
      <w:pPr>
        <w:spacing w:before="240" w:after="120"/>
      </w:pPr>
      <w:r>
        <w:rPr>
          <w:b/>
          <w:color w:val="1B3A5C"/>
          <w:sz w:val="36"/>
        </w:rPr>
        <w:t>1. Objectivo e âmbito</w:t>
      </w:r>
    </w:p>
    <w:p>
      <w:pPr>
        <w:spacing w:before="240" w:after="120"/>
      </w:pPr>
      <w:r>
        <w:rPr>
          <w:b/>
          <w:color w:val="1B3A5C"/>
          <w:sz w:val="28"/>
        </w:rPr>
        <w:t>1.1 Objectivo</w:t>
      </w:r>
    </w:p>
    <w:p>
      <w:pPr>
        <w:spacing w:after="80"/>
      </w:pPr>
      <w:r>
        <w:rPr>
          <w:color w:val="1E293B"/>
          <w:sz w:val="22"/>
        </w:rPr>
        <w:t>A gestão de pedidos de serviço tem como objectivo garantir o tratamento eficiente, padronizado e atempado de todos os pedidos de serviço submetidos pelos utilizadores. Ao contrário da gestão de incidentes, que lida com interrupções não planeadas, os pedidos de serviço referem-se a necessidades pré-definidas e, na maioria dos casos, pré-aprovadas que fazem parte do catálogo de serviços da organização de TI.</w:t>
      </w:r>
    </w:p>
    <w:p>
      <w:pPr>
        <w:spacing w:before="240" w:after="120"/>
      </w:pPr>
      <w:r>
        <w:rPr>
          <w:b/>
          <w:color w:val="1B3A5C"/>
          <w:sz w:val="28"/>
        </w:rPr>
        <w:t>1.2 Âmbito</w:t>
      </w:r>
    </w:p>
    <w:p>
      <w:pPr>
        <w:spacing w:after="80"/>
      </w:pPr>
      <w:r>
        <w:rPr>
          <w:color w:val="1E293B"/>
          <w:sz w:val="22"/>
        </w:rPr>
        <w:t>Este processo aplica-se a todos os pedidos de serviço submetidos pelos utilizadores da organização XPTO através dos canais disponibilizados: portal de auto-serviço, telefone ou email para o service desk.</w:t>
      </w:r>
    </w:p>
    <w:p>
      <w:pPr>
        <w:spacing w:after="80"/>
      </w:pPr>
      <w:r>
        <w:rPr>
          <w:color w:val="1E293B"/>
          <w:sz w:val="22"/>
        </w:rPr>
        <w:t>O processo cobre: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Submissão e registo de pedidos de serviço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Validação e categorização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Aprovação quando necessária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Atribuição e execução do fulfillment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Verificação com o utilizador e encerramento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Monitorização e análise de tendências</w:t>
      </w:r>
    </w:p>
    <w:p>
      <w:pPr>
        <w:spacing w:before="240" w:after="120"/>
      </w:pPr>
      <w:r>
        <w:rPr>
          <w:b/>
          <w:color w:val="1B3A5C"/>
          <w:sz w:val="28"/>
        </w:rPr>
        <w:t>1.3 Exclusões</w:t>
      </w:r>
    </w:p>
    <w:p>
      <w:pPr>
        <w:spacing w:after="80"/>
      </w:pPr>
      <w:r>
        <w:rPr>
          <w:color w:val="1E293B"/>
          <w:sz w:val="22"/>
        </w:rPr>
        <w:t>Estão fora do âmbito deste processo: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Interrupções ou degradações de serviço (geridas pela gestão de incidentes)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Alterações ao ambiente de produção que requeiram avaliação de risco (change enablement)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Pedidos de informação ou consulta (FAQ, base de conhecimento)</w:t>
      </w:r>
    </w:p>
    <w:p>
      <w:pPr>
        <w:spacing w:before="240" w:after="120"/>
      </w:pPr>
      <w:r>
        <w:rPr>
          <w:b/>
          <w:color w:val="1B3A5C"/>
          <w:sz w:val="36"/>
        </w:rPr>
        <w:t>2. Definições e conceitos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Termo</w:t>
            </w:r>
          </w:p>
        </w:tc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Definição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Pedido de serviço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Solicitação formal de um utilizador para obter um serviço, recurso ou informação predefinidos, parte do serviço normal acordado.</w:t>
            </w:r>
          </w:p>
        </w:tc>
      </w:tr>
      <w:tr>
        <w:tc>
          <w:tcPr>
            <w:tcW w:type="dxa" w:w="4561"/>
            <w:shd w:val="clear" w:color="auto" w:fill="F0F9FF"/>
          </w:tcPr>
          <w:p>
            <w:r/>
            <w:r>
              <w:rPr>
                <w:b/>
                <w:color w:val="1B3A5C"/>
                <w:sz w:val="20"/>
              </w:rPr>
              <w:t>Fulfillment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Execução do pedido de serviço, incluindo todos os passos necessários para disponibilizar o serviço ou recurso solicitado ao utilizador.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Modelo de fulfillment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Procedimento documentado que descreve os passos, responsáveis e critérios de conclusão para um tipo específico de pedido de serviço.</w:t>
            </w:r>
          </w:p>
        </w:tc>
      </w:tr>
      <w:tr>
        <w:tc>
          <w:tcPr>
            <w:tcW w:type="dxa" w:w="4561"/>
            <w:shd w:val="clear" w:color="auto" w:fill="F0F9FF"/>
          </w:tcPr>
          <w:p>
            <w:r/>
            <w:r>
              <w:rPr>
                <w:b/>
                <w:color w:val="1B3A5C"/>
                <w:sz w:val="20"/>
              </w:rPr>
              <w:t>Catálogo de serviços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Lista estruturada de todos os serviços disponíveis para pedido, com informação sobre SLAs, requisitos de aprovação e modelo de fulfillment.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Portal de auto-serviço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Interface web que permite ao utilizador submeter, acompanhar e gerir os seus pedidos de serviço sem contactar directamente o service desk.</w:t>
            </w:r>
          </w:p>
        </w:tc>
      </w:tr>
      <w:tr>
        <w:tc>
          <w:tcPr>
            <w:tcW w:type="dxa" w:w="4561"/>
            <w:shd w:val="clear" w:color="auto" w:fill="F0F9FF"/>
          </w:tcPr>
          <w:p>
            <w:r/>
            <w:r>
              <w:rPr>
                <w:b/>
                <w:color w:val="1B3A5C"/>
                <w:sz w:val="20"/>
              </w:rPr>
              <w:t>Aprovador designado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Pessoa com autoridade para aprovar ou rejeitar um pedido de serviço específico, conforme definido no catálogo de serviços.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SLA de fulfillment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Acordo de nível de serviço que define o tempo máximo para concluir o fulfillment de um tipo de pedido específico.</w:t>
            </w:r>
          </w:p>
        </w:tc>
      </w:tr>
      <w:tr>
        <w:tc>
          <w:tcPr>
            <w:tcW w:type="dxa" w:w="4561"/>
            <w:shd w:val="clear" w:color="auto" w:fill="F0F9FF"/>
          </w:tcPr>
          <w:p>
            <w:r/>
            <w:r>
              <w:rPr>
                <w:b/>
                <w:color w:val="1B3A5C"/>
                <w:sz w:val="20"/>
              </w:rPr>
              <w:t>XPTO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Organização fictícia utilizada neste documento para exemplificar a implementação do processo. Adapte para o nome da sua organização.</w:t>
            </w:r>
          </w:p>
        </w:tc>
      </w:tr>
    </w:tbl>
    <w:p/>
    <w:p>
      <w:pPr>
        <w:spacing w:before="240" w:after="120"/>
      </w:pPr>
      <w:r>
        <w:rPr>
          <w:b/>
          <w:color w:val="1B3A5C"/>
          <w:sz w:val="36"/>
        </w:rPr>
        <w:t>3. Modelos de fulfillment</w:t>
      </w:r>
    </w:p>
    <w:p>
      <w:pPr>
        <w:spacing w:after="80"/>
      </w:pPr>
      <w:r>
        <w:rPr>
          <w:color w:val="1E293B"/>
          <w:sz w:val="22"/>
        </w:rPr>
        <w:t>A gestão de pedidos de serviço distingue-se da gestão de incidentes por trabalhar com pedidos pré-definidos e, na maioria dos casos, pré-aprovados. O catálogo de serviços define qual o modelo de fulfillment aplicável a cada tipo de pedido.</w:t>
      </w:r>
    </w:p>
    <w:p>
      <w:pPr>
        <w:spacing w:before="240" w:after="120"/>
      </w:pPr>
      <w:r>
        <w:rPr>
          <w:b/>
          <w:color w:val="1B3A5C"/>
          <w:sz w:val="28"/>
        </w:rPr>
        <w:t>Modelo 1: Fulfillment automático (self-service)</w:t>
      </w:r>
    </w:p>
    <w:p>
      <w:pPr>
        <w:spacing w:after="80"/>
      </w:pPr>
      <w:r>
        <w:rPr>
          <w:color w:val="1E293B"/>
          <w:sz w:val="22"/>
        </w:rPr>
        <w:t>Neste modelo, o pedido é executado automaticamente por scripts, workflows automatizados ou integrações entre sistemas, sem qualquer intervenção humana. É o modelo mais eficiente e o alvo preferencial de automação progressiva.</w:t>
      </w:r>
    </w:p>
    <w:p>
      <w:r>
        <w:rPr>
          <w:b/>
          <w:color w:val="15803D"/>
          <w:sz w:val="20"/>
        </w:rPr>
        <w:t>Tempo de fulfillment: inferior a 15 minutos (tipicamente imediato)</w:t>
      </w:r>
    </w:p>
    <w:p>
      <w:pPr>
        <w:spacing w:after="80"/>
      </w:pPr>
      <w:r>
        <w:rPr>
          <w:color w:val="1E293B"/>
          <w:sz w:val="22"/>
        </w:rPr>
        <w:t>Exemplos: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Reset de password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Desbloqueio de conta de utilizador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Acesso a redes Wi-Fi corporativas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Instalação de software do catálogo standard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Criação de conta em sistemas integrados</w:t>
      </w:r>
    </w:p>
    <w:p/>
    <w:p>
      <w:pPr>
        <w:spacing w:before="240" w:after="120"/>
      </w:pPr>
      <w:r>
        <w:rPr>
          <w:b/>
          <w:color w:val="1B3A5C"/>
          <w:sz w:val="28"/>
        </w:rPr>
        <w:t>Modelo 2: Fulfillment pelo service desk</w:t>
      </w:r>
    </w:p>
    <w:p>
      <w:pPr>
        <w:spacing w:after="80"/>
      </w:pPr>
      <w:r>
        <w:rPr>
          <w:color w:val="1E293B"/>
          <w:sz w:val="22"/>
        </w:rPr>
        <w:t>O service desk executa o pedido directamente, seguindo um procedimento documentado, sem necessidade de envolver equipas técnicas especializadas. Adequado para pedidos simples com procedimento claro e acessível ao nível L1.</w:t>
      </w:r>
    </w:p>
    <w:p>
      <w:r>
        <w:rPr>
          <w:b/>
          <w:color w:val="15803D"/>
          <w:sz w:val="20"/>
        </w:rPr>
        <w:t>Tempo de fulfillment: 2 a 8 horas (dentro do horário de serviço)</w:t>
      </w:r>
    </w:p>
    <w:p>
      <w:pPr>
        <w:spacing w:after="80"/>
      </w:pPr>
      <w:r>
        <w:rPr>
          <w:color w:val="1E293B"/>
          <w:sz w:val="22"/>
        </w:rPr>
        <w:t>Exemplos: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Permissão em pasta de rede partilhada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Configuração de conta de email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Desbloqueio de acesso a site restrito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Redefinição de PIN de smart card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Activação de utilizador inactivo</w:t>
      </w:r>
    </w:p>
    <w:p/>
    <w:p>
      <w:pPr>
        <w:spacing w:before="240" w:after="120"/>
      </w:pPr>
      <w:r>
        <w:rPr>
          <w:b/>
          <w:color w:val="1B3A5C"/>
          <w:sz w:val="28"/>
        </w:rPr>
        <w:t>Modelo 3: Fulfillment pela equipa técnica</w:t>
      </w:r>
    </w:p>
    <w:p>
      <w:pPr>
        <w:spacing w:after="80"/>
      </w:pPr>
      <w:r>
        <w:rPr>
          <w:color w:val="1E293B"/>
          <w:sz w:val="22"/>
        </w:rPr>
        <w:t>O pedido requer intervenção de uma equipa técnica especializada (infraestrutura, segurança, aplicações, etc.). O service desk coordena o pedido, atribui-o à equipa correcta e acompanha o progresso até ao encerramento.</w:t>
      </w:r>
    </w:p>
    <w:p>
      <w:r>
        <w:rPr>
          <w:b/>
          <w:color w:val="15803D"/>
          <w:sz w:val="20"/>
        </w:rPr>
        <w:t>Tempo de fulfillment: 4 a 48 horas (conforme SLA do serviço)</w:t>
      </w:r>
    </w:p>
    <w:p>
      <w:pPr>
        <w:spacing w:after="80"/>
      </w:pPr>
      <w:r>
        <w:rPr>
          <w:color w:val="1E293B"/>
          <w:sz w:val="22"/>
        </w:rPr>
        <w:t>Exemplos: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Provisionamento de novo posto de trabalho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Configuração de acesso VPN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Criação de utilizador no Active Directory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Atribuição de telemóvel corporativo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Configuração de impressora de rede</w:t>
      </w:r>
    </w:p>
    <w:p/>
    <w:p>
      <w:pPr>
        <w:spacing w:before="240" w:after="120"/>
      </w:pPr>
      <w:r>
        <w:rPr>
          <w:b/>
          <w:color w:val="1B3A5C"/>
          <w:sz w:val="28"/>
        </w:rPr>
        <w:t>Modelo 4: Fulfillment com aprovação necessária</w:t>
      </w:r>
    </w:p>
    <w:p>
      <w:pPr>
        <w:spacing w:after="80"/>
      </w:pPr>
      <w:r>
        <w:rPr>
          <w:color w:val="1E293B"/>
          <w:sz w:val="22"/>
        </w:rPr>
        <w:t>O pedido requer aprovação formal de um gestor ou aprovador designado antes de iniciar o fulfillment. A aprovação pode ser manual ou integrada em workflow automático. O tempo de aprovação é contabilizado no SLA total do pedido.</w:t>
      </w:r>
    </w:p>
    <w:p>
      <w:r>
        <w:rPr>
          <w:b/>
          <w:color w:val="15803D"/>
          <w:sz w:val="20"/>
        </w:rPr>
        <w:t>Tempo de fulfillment: depende do tempo de aprovação + execução</w:t>
      </w:r>
    </w:p>
    <w:p>
      <w:pPr>
        <w:spacing w:after="80"/>
      </w:pPr>
      <w:r>
        <w:rPr>
          <w:color w:val="1E293B"/>
          <w:sz w:val="22"/>
        </w:rPr>
        <w:t>Exemplos: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Acesso a aplicação com dados sensíveis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Equipamento acima do limite de custo standard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Licença de software adicional (custo)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Acesso remoto a sistemas críticos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Extensão de privilégios de administrador</w:t>
      </w:r>
    </w:p>
    <w:p/>
    <w:p>
      <w:pPr>
        <w:spacing w:before="240" w:after="120"/>
      </w:pPr>
      <w:r>
        <w:rPr>
          <w:b/>
          <w:color w:val="1B3A5C"/>
          <w:sz w:val="36"/>
        </w:rPr>
        <w:t>4. Catálogo de serviços</w:t>
      </w:r>
    </w:p>
    <w:p>
      <w:pPr>
        <w:spacing w:after="80"/>
      </w:pPr>
      <w:r>
        <w:rPr>
          <w:color w:val="1E293B"/>
          <w:sz w:val="22"/>
        </w:rPr>
        <w:t>O catálogo de serviços é o pilar central da gestão de pedidos de serviço. Define de forma clara e estruturada todos os serviços disponíveis para pedido, os SLAs associados, o modelo de fulfillment e os requisitos de aprovação. Um catálogo bem mantido é condição necessária para a eficiência do processo.</w:t>
      </w:r>
    </w:p>
    <w:p>
      <w:pPr>
        <w:spacing w:before="240" w:after="120"/>
      </w:pPr>
      <w:r>
        <w:rPr>
          <w:b/>
          <w:color w:val="1B3A5C"/>
          <w:sz w:val="28"/>
        </w:rPr>
        <w:t>4.1 Estrutura mínima de um item do catálogo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Nome do serviço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Designação clara e compreensível para o utilizador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O que o utilizador recebe ao solicitar este serviço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Elegibilidade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Quem pode solicitar (todos, grupo específico, custo centro)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Modelo de fulfillment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Automático / Service desk / Equipa técnica / Aprovação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Aprovação necessária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Sim/Não; se sim, quem aprova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SLA standard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Tempo máximo para fulfillment em condições normais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SLA urgente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Tempo máximo para fulfillment com marcação urgente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Custo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Custo associado (se aplicável para showback/chargeback)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Procedimento de fulfillment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Referência ao modelo de fulfillment detalhado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Estado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Activo / Em revisão / Descontinuado</w:t>
            </w:r>
          </w:p>
        </w:tc>
      </w:tr>
    </w:tbl>
    <w:p/>
    <w:p>
      <w:pPr>
        <w:spacing w:before="240" w:after="120"/>
      </w:pPr>
      <w:r>
        <w:rPr>
          <w:b/>
          <w:color w:val="1B3A5C"/>
          <w:sz w:val="28"/>
        </w:rPr>
        <w:t>4.2 Gestão do catálogo</w:t>
      </w:r>
    </w:p>
    <w:p>
      <w:pPr>
        <w:spacing w:after="80"/>
      </w:pPr>
      <w:r>
        <w:rPr>
          <w:color w:val="1E293B"/>
          <w:sz w:val="22"/>
        </w:rPr>
        <w:t>O catálogo de serviços deve ser revisto, no mínimo, de 6 em 6 meses para garantir que reflecte os serviços efectivamente disponíveis, que os SLAs estão actualizados e que novos serviços automatizáveis foram identificados.</w:t>
      </w:r>
    </w:p>
    <w:p>
      <w:pPr>
        <w:spacing w:after="80"/>
      </w:pPr>
      <w:r>
        <w:rPr>
          <w:color w:val="1E293B"/>
          <w:sz w:val="22"/>
        </w:rPr>
        <w:t>Responsabilidades na gestão do catálogo: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Service desk manager: responsável global pelo catálogo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Equipas técnicas: validação dos modelos de fulfillment da sua área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Gestão de TI: aprovação de novos serviços e alterações a SLAs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Utilizadores: feedback sobre qualidade e completude dos serviços disponíveis</w:t>
      </w:r>
    </w:p>
    <w:p>
      <w:pPr>
        <w:spacing w:before="240" w:after="120"/>
      </w:pPr>
      <w:r>
        <w:rPr>
          <w:b/>
          <w:color w:val="1B3A5C"/>
          <w:sz w:val="36"/>
        </w:rPr>
        <w:t>5. Diagrama do processo (BPMN)</w:t>
      </w:r>
    </w:p>
    <w:p>
      <w:pPr>
        <w:spacing w:after="80"/>
      </w:pPr>
      <w:r>
        <w:rPr>
          <w:color w:val="1E293B"/>
          <w:sz w:val="22"/>
        </w:rPr>
        <w:t>O diagrama seguinte representa o fluxo do processo de gestão de pedidos de serviço em notação BPMN simplificada, com três swimlanes: Utilizador, Service desk e Fulfillment team. O diagrama completo está disponível na versão HTML deste processo em better-skills.com/templates/processos/gestao-pedidos-servico/</w:t>
      </w:r>
    </w:p>
    <w:p/>
    <w:p>
      <w:pPr>
        <w:ind w:left="567" w:right="567"/>
        <w:shd w:val="clear" w:fill="FEF9C3"/>
      </w:pPr>
      <w:r>
        <w:rPr>
          <w:color w:val="713F12"/>
          <w:sz w:val="20"/>
        </w:rPr>
        <w:t>XPTO  --  Nota de implementação: adapte o diagrama BPMN ao fluxo real da sua organização, incluindo os sistemas de automação utilizados e os workflows de aprovação específicos. O diagrama base está disponível no portal da Better Skills.</w:t>
      </w:r>
    </w:p>
    <w:p/>
    <w:p>
      <w:pPr>
        <w:spacing w:before="240" w:after="120"/>
      </w:pPr>
      <w:r>
        <w:rPr>
          <w:b/>
          <w:color w:val="1B3A5C"/>
          <w:sz w:val="28"/>
        </w:rPr>
        <w:t>5.1 Fluxo resumido do processo</w:t>
      </w:r>
    </w:p>
    <w:p>
      <w:pPr>
        <w:spacing w:after="60"/>
        <w:ind w:left="283"/>
      </w:pPr>
      <w:r>
        <w:rPr>
          <w:color w:val="1E293B"/>
          <w:sz w:val="22"/>
        </w:rPr>
        <w:t>1. Utilizador submete pedido (portal / telefone / email)</w:t>
      </w:r>
    </w:p>
    <w:p>
      <w:pPr>
        <w:spacing w:after="60"/>
        <w:ind w:left="283"/>
      </w:pPr>
      <w:r>
        <w:rPr>
          <w:color w:val="1E293B"/>
          <w:sz w:val="22"/>
        </w:rPr>
        <w:t>2. Service desk valida e categoriza o pedido</w:t>
      </w:r>
    </w:p>
    <w:p>
      <w:pPr>
        <w:spacing w:after="60"/>
        <w:ind w:left="283"/>
      </w:pPr>
      <w:r>
        <w:rPr>
          <w:color w:val="1E293B"/>
          <w:sz w:val="22"/>
        </w:rPr>
        <w:t>3. [Se necessária aprovação] Aprovador aprova ou rejeita</w:t>
      </w:r>
    </w:p>
    <w:p>
      <w:pPr>
        <w:spacing w:after="60"/>
        <w:ind w:left="283"/>
      </w:pPr>
      <w:r>
        <w:rPr>
          <w:color w:val="1E293B"/>
          <w:sz w:val="22"/>
        </w:rPr>
        <w:t>4. [Se rejeitado] Pedido encerrado com motivo; utilizador informado</w:t>
      </w:r>
    </w:p>
    <w:p>
      <w:pPr>
        <w:spacing w:after="60"/>
        <w:ind w:left="283"/>
      </w:pPr>
      <w:r>
        <w:rPr>
          <w:color w:val="1E293B"/>
          <w:sz w:val="22"/>
        </w:rPr>
        <w:t>5. [Se fulfillment automático] Sistema executa automaticamente</w:t>
      </w:r>
    </w:p>
    <w:p>
      <w:pPr>
        <w:spacing w:after="60"/>
        <w:ind w:left="283"/>
      </w:pPr>
      <w:r>
        <w:rPr>
          <w:color w:val="1E293B"/>
          <w:sz w:val="22"/>
        </w:rPr>
        <w:t>6. [Se fulfillment manual] Fulfillment team executa o pedido</w:t>
      </w:r>
    </w:p>
    <w:p>
      <w:pPr>
        <w:spacing w:after="60"/>
        <w:ind w:left="283"/>
      </w:pPr>
      <w:r>
        <w:rPr>
          <w:color w:val="1E293B"/>
          <w:sz w:val="22"/>
        </w:rPr>
        <w:t>7. Service desk verifica com o utilizador</w:t>
      </w:r>
    </w:p>
    <w:p>
      <w:pPr>
        <w:spacing w:after="60"/>
        <w:ind w:left="283"/>
      </w:pPr>
      <w:r>
        <w:rPr>
          <w:color w:val="1E293B"/>
          <w:sz w:val="22"/>
        </w:rPr>
        <w:t>8. Utilizador confirma; service desk encerra o pedido</w:t>
      </w:r>
    </w:p>
    <w:p>
      <w:pPr>
        <w:spacing w:after="60"/>
        <w:ind w:left="283"/>
      </w:pPr>
      <w:r>
        <w:rPr>
          <w:color w:val="1E293B"/>
          <w:sz w:val="22"/>
        </w:rPr>
        <w:t>9. Questionário de satisfação enviado</w:t>
      </w:r>
    </w:p>
    <w:p>
      <w:pPr>
        <w:spacing w:before="240" w:after="120"/>
      </w:pPr>
      <w:r>
        <w:rPr>
          <w:b/>
          <w:color w:val="1B3A5C"/>
          <w:sz w:val="36"/>
        </w:rPr>
        <w:t>6. Descrição das actividades</w:t>
      </w:r>
    </w:p>
    <w:p>
      <w:pPr>
        <w:spacing w:before="240" w:after="120"/>
      </w:pPr>
      <w:r>
        <w:rPr>
          <w:b/>
          <w:color w:val="1B3A5C"/>
          <w:sz w:val="28"/>
        </w:rPr>
        <w:t>6.1 Submissão do pedido</w:t>
      </w:r>
    </w:p>
    <w:p>
      <w:r>
        <w:rPr>
          <w:b/>
          <w:color w:val="1B3A5C"/>
          <w:sz w:val="20"/>
        </w:rPr>
        <w:t xml:space="preserve">Responsável: </w:t>
      </w:r>
      <w:r>
        <w:rPr>
          <w:color w:val="1E293B"/>
          <w:sz w:val="20"/>
        </w:rPr>
        <w:t>Utilizador</w:t>
      </w:r>
    </w:p>
    <w:p>
      <w:pPr>
        <w:spacing w:after="80"/>
      </w:pPr>
      <w:r>
        <w:rPr>
          <w:color w:val="1E293B"/>
          <w:sz w:val="22"/>
        </w:rPr>
        <w:t>O processo inicia quando um utilizador identifica uma necessidade de serviço pré-definida no catálogo. O canal preferencial é o portal de auto-serviço, que apresenta os serviços disponíveis, os respectivos SLAs e os campos necessários para submissão.</w:t>
      </w:r>
    </w:p>
    <w:p>
      <w:pPr>
        <w:spacing w:after="80"/>
      </w:pPr>
      <w:r>
        <w:rPr>
          <w:color w:val="1E293B"/>
          <w:sz w:val="22"/>
        </w:rPr>
        <w:t>Passos chave: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Aceder ao portal de auto-serviço e localizar o serviço no catálogo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Preencher os campos obrigatórios do formulário de pedido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Indicar justificação de negócio quando exigida pelo catálogo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Confirmar a submissão e anotar o número de referência</w:t>
      </w:r>
    </w:p>
    <w:p>
      <w:pPr>
        <w:spacing w:before="80"/>
      </w:pPr>
      <w:r>
        <w:rPr>
          <w:b/>
          <w:color w:val="15803D"/>
          <w:sz w:val="20"/>
        </w:rPr>
        <w:t>Critério de saída: Pedido submetido com referência única gerada e confirmação de recepção enviada ao utilizador.</w:t>
      </w:r>
    </w:p>
    <w:p/>
    <w:p>
      <w:pPr>
        <w:spacing w:before="240" w:after="120"/>
      </w:pPr>
      <w:r>
        <w:rPr>
          <w:b/>
          <w:color w:val="1B3A5C"/>
          <w:sz w:val="28"/>
        </w:rPr>
        <w:t>6.2 Validação e categorização</w:t>
      </w:r>
    </w:p>
    <w:p>
      <w:r>
        <w:rPr>
          <w:b/>
          <w:color w:val="1B3A5C"/>
          <w:sz w:val="20"/>
        </w:rPr>
        <w:t xml:space="preserve">Responsável: </w:t>
      </w:r>
      <w:r>
        <w:rPr>
          <w:color w:val="1E293B"/>
          <w:sz w:val="20"/>
        </w:rPr>
        <w:t>Service desk</w:t>
      </w:r>
    </w:p>
    <w:p>
      <w:pPr>
        <w:spacing w:after="80"/>
      </w:pPr>
      <w:r>
        <w:rPr>
          <w:color w:val="1E293B"/>
          <w:sz w:val="22"/>
        </w:rPr>
        <w:t>O service desk verifica se o pedido corresponde a um item do catálogo de serviços e se a informação submetida é suficiente para iniciar o fulfillment. Identifica o modelo de fulfillment adequado, o SLA aplicável e se é necessária aprovação prévia.</w:t>
      </w:r>
    </w:p>
    <w:p>
      <w:pPr>
        <w:spacing w:after="80"/>
      </w:pPr>
      <w:r>
        <w:rPr>
          <w:color w:val="1E293B"/>
          <w:sz w:val="22"/>
        </w:rPr>
        <w:t>Passos chave: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Confirmar que o serviço existe no catálogo de serviços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Verificar elegibilidade do utilizador para o serviço solicitado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Identificar o modelo de fulfillment: automático, SD, equipa ou aprovação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Atribuir categoria e subcategoria na ferramenta ITSM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Solicitar informação adicional se necessário</w:t>
      </w:r>
    </w:p>
    <w:p>
      <w:pPr>
        <w:spacing w:before="80"/>
      </w:pPr>
      <w:r>
        <w:rPr>
          <w:b/>
          <w:color w:val="15803D"/>
          <w:sz w:val="20"/>
        </w:rPr>
        <w:t>Critério de saída: Pedido categorizado com modelo de fulfillment definido; SLA iniciado; utilizador informado do prazo esperado.</w:t>
      </w:r>
    </w:p>
    <w:p/>
    <w:p>
      <w:pPr>
        <w:spacing w:before="240" w:after="120"/>
      </w:pPr>
      <w:r>
        <w:rPr>
          <w:b/>
          <w:color w:val="1B3A5C"/>
          <w:sz w:val="28"/>
        </w:rPr>
        <w:t>6.3 Aprovação (quando necessária)</w:t>
      </w:r>
    </w:p>
    <w:p>
      <w:r>
        <w:rPr>
          <w:b/>
          <w:color w:val="1B3A5C"/>
          <w:sz w:val="20"/>
        </w:rPr>
        <w:t xml:space="preserve">Responsável: </w:t>
      </w:r>
      <w:r>
        <w:rPr>
          <w:color w:val="1E293B"/>
          <w:sz w:val="20"/>
        </w:rPr>
        <w:t>Aprovador designado</w:t>
      </w:r>
    </w:p>
    <w:p>
      <w:pPr>
        <w:spacing w:after="80"/>
      </w:pPr>
      <w:r>
        <w:rPr>
          <w:color w:val="1E293B"/>
          <w:sz w:val="22"/>
        </w:rPr>
        <w:t>Quando o catálogo define que um serviço requer aprovação prévia, o pedido é encaminhado ao aprovador designado. O aprovador pode ser o gestor directo, um responsável de área ou um aprovador técnico.</w:t>
      </w:r>
    </w:p>
    <w:p>
      <w:pPr>
        <w:spacing w:after="80"/>
      </w:pPr>
      <w:r>
        <w:rPr>
          <w:color w:val="1E293B"/>
          <w:sz w:val="22"/>
        </w:rPr>
        <w:t>Passos chave: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Enviar notificação automática ao aprovador com detalhes do pedido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Aprovador analisa justificação e verifica conformidade com políticas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Aprovação ou rejeição registada na ferramenta ITSM com motivo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Utilizador notificado do resultado da aprovação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Em caso de rejeição, pedido encerrado com estado "rejeitado"</w:t>
      </w:r>
    </w:p>
    <w:p>
      <w:pPr>
        <w:spacing w:before="80"/>
      </w:pPr>
      <w:r>
        <w:rPr>
          <w:b/>
          <w:color w:val="15803D"/>
          <w:sz w:val="20"/>
        </w:rPr>
        <w:t>Critério de saída: Aprovação registada no sistema ou pedido encerrado por rejeição com motivo documentado.</w:t>
      </w:r>
    </w:p>
    <w:p/>
    <w:p>
      <w:pPr>
        <w:spacing w:before="240" w:after="120"/>
      </w:pPr>
      <w:r>
        <w:rPr>
          <w:b/>
          <w:color w:val="1B3A5C"/>
          <w:sz w:val="28"/>
        </w:rPr>
        <w:t>6.4 Atribuição ao fulfillment team</w:t>
      </w:r>
    </w:p>
    <w:p>
      <w:r>
        <w:rPr>
          <w:b/>
          <w:color w:val="1B3A5C"/>
          <w:sz w:val="20"/>
        </w:rPr>
        <w:t xml:space="preserve">Responsável: </w:t>
      </w:r>
      <w:r>
        <w:rPr>
          <w:color w:val="1E293B"/>
          <w:sz w:val="20"/>
        </w:rPr>
        <w:t>Service desk</w:t>
      </w:r>
    </w:p>
    <w:p>
      <w:pPr>
        <w:spacing w:after="80"/>
      </w:pPr>
      <w:r>
        <w:rPr>
          <w:color w:val="1E293B"/>
          <w:sz w:val="22"/>
        </w:rPr>
        <w:t>Após validação e aprovação, o pedido é atribuído à equipa ou processo responsável pelo fulfillment. Para pedidos automáticos, a atribuição é feita por integração com ferramentas de automação.</w:t>
      </w:r>
    </w:p>
    <w:p>
      <w:pPr>
        <w:spacing w:after="80"/>
      </w:pPr>
      <w:r>
        <w:rPr>
          <w:color w:val="1E293B"/>
          <w:sz w:val="22"/>
        </w:rPr>
        <w:t>Passos chave: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Verificar disponibilidade do fulfillment team (carga de trabalho)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Atribuir pedido com base na categoria e nas regras de routing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Para pedidos automáticos, acionar o script ou workflow de automação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Notificar equipa receptora com detalhes e prazo do pedido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Actualizar estado do pedido para "em execução"</w:t>
      </w:r>
    </w:p>
    <w:p>
      <w:pPr>
        <w:spacing w:before="80"/>
      </w:pPr>
      <w:r>
        <w:rPr>
          <w:b/>
          <w:color w:val="15803D"/>
          <w:sz w:val="20"/>
        </w:rPr>
        <w:t>Critério de saída: Pedido atribuído à equipa correcta ou processo automático acionado; estado actualizado na ferramenta ITSM.</w:t>
      </w:r>
    </w:p>
    <w:p/>
    <w:p>
      <w:pPr>
        <w:spacing w:before="240" w:after="120"/>
      </w:pPr>
      <w:r>
        <w:rPr>
          <w:b/>
          <w:color w:val="1B3A5C"/>
          <w:sz w:val="28"/>
        </w:rPr>
        <w:t>6.5 Fulfillment</w:t>
      </w:r>
    </w:p>
    <w:p>
      <w:r>
        <w:rPr>
          <w:b/>
          <w:color w:val="1B3A5C"/>
          <w:sz w:val="20"/>
        </w:rPr>
        <w:t xml:space="preserve">Responsável: </w:t>
      </w:r>
      <w:r>
        <w:rPr>
          <w:color w:val="1E293B"/>
          <w:sz w:val="20"/>
        </w:rPr>
        <w:t>Fulfillment team / Automação</w:t>
      </w:r>
    </w:p>
    <w:p>
      <w:pPr>
        <w:spacing w:after="80"/>
      </w:pPr>
      <w:r>
        <w:rPr>
          <w:color w:val="1E293B"/>
          <w:sz w:val="22"/>
        </w:rPr>
        <w:t>A execução do pedido segue o procedimento de fulfillment documentado no catálogo de serviços. Cada tipo de pedido tem um modelo de fulfillment próprio com passos sequenciais, verificações e critérios de conclusão.</w:t>
      </w:r>
    </w:p>
    <w:p>
      <w:pPr>
        <w:spacing w:after="80"/>
      </w:pPr>
      <w:r>
        <w:rPr>
          <w:color w:val="1E293B"/>
          <w:sz w:val="22"/>
        </w:rPr>
        <w:t>Passos chave: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Consultar o modelo de fulfillment documentado para o tipo de pedido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Executar cada passo do procedimento pela ordem definida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Registar a execução de cada passo no ticket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Verificar resultado de cada passo antes de avançar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Documentar qualquer desvio ao procedimento standard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Actualizar ticket com estado "fulfillment concluído" ao terminar</w:t>
      </w:r>
    </w:p>
    <w:p>
      <w:pPr>
        <w:spacing w:before="80"/>
      </w:pPr>
      <w:r>
        <w:rPr>
          <w:b/>
          <w:color w:val="15803D"/>
          <w:sz w:val="20"/>
        </w:rPr>
        <w:t>Critério de saída: Serviço prestado ou recurso disponibilizado conforme especificado; todos os passos registados no ticket.</w:t>
      </w:r>
    </w:p>
    <w:p/>
    <w:p>
      <w:pPr>
        <w:spacing w:before="240" w:after="120"/>
      </w:pPr>
      <w:r>
        <w:rPr>
          <w:b/>
          <w:color w:val="1B3A5C"/>
          <w:sz w:val="28"/>
        </w:rPr>
        <w:t>6.6 Verificação com o utilizador</w:t>
      </w:r>
    </w:p>
    <w:p>
      <w:r>
        <w:rPr>
          <w:b/>
          <w:color w:val="1B3A5C"/>
          <w:sz w:val="20"/>
        </w:rPr>
        <w:t xml:space="preserve">Responsável: </w:t>
      </w:r>
      <w:r>
        <w:rPr>
          <w:color w:val="1E293B"/>
          <w:sz w:val="20"/>
        </w:rPr>
        <w:t>Service desk</w:t>
      </w:r>
    </w:p>
    <w:p>
      <w:pPr>
        <w:spacing w:after="80"/>
      </w:pPr>
      <w:r>
        <w:rPr>
          <w:color w:val="1E293B"/>
          <w:sz w:val="22"/>
        </w:rPr>
        <w:t>Após o fulfillment, o service desk informa o utilizador que o serviço foi prestado e solicita confirmação. Para pedidos simples, a verificação pode ser feita por notificação automática; para pedidos mais complexos, é preferível contacto directo.</w:t>
      </w:r>
    </w:p>
    <w:p>
      <w:pPr>
        <w:spacing w:after="80"/>
      </w:pPr>
      <w:r>
        <w:rPr>
          <w:color w:val="1E293B"/>
          <w:sz w:val="22"/>
        </w:rPr>
        <w:t>Passos chave: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Notificar utilizador que o fulfillment foi concluído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Fornecer instruções de acesso ou utilização se necessário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Solicitar confirmação explícita ou definir prazo para resposta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Se utilizador reportar problema, reabrir pedido e escalar</w:t>
      </w:r>
    </w:p>
    <w:p>
      <w:pPr>
        <w:spacing w:before="80"/>
      </w:pPr>
      <w:r>
        <w:rPr>
          <w:b/>
          <w:color w:val="15803D"/>
          <w:sz w:val="20"/>
        </w:rPr>
        <w:t>Critério de saída: Confirmação do utilizador recebida ou prazo de resposta decorrido sem objecções.</w:t>
      </w:r>
    </w:p>
    <w:p/>
    <w:p>
      <w:pPr>
        <w:spacing w:before="240" w:after="120"/>
      </w:pPr>
      <w:r>
        <w:rPr>
          <w:b/>
          <w:color w:val="1B3A5C"/>
          <w:sz w:val="28"/>
        </w:rPr>
        <w:t>6.7 Encerramento</w:t>
      </w:r>
    </w:p>
    <w:p>
      <w:r>
        <w:rPr>
          <w:b/>
          <w:color w:val="1B3A5C"/>
          <w:sz w:val="20"/>
        </w:rPr>
        <w:t xml:space="preserve">Responsável: </w:t>
      </w:r>
      <w:r>
        <w:rPr>
          <w:color w:val="1E293B"/>
          <w:sz w:val="20"/>
        </w:rPr>
        <w:t>Service desk</w:t>
      </w:r>
    </w:p>
    <w:p>
      <w:pPr>
        <w:spacing w:after="80"/>
      </w:pPr>
      <w:r>
        <w:rPr>
          <w:color w:val="1E293B"/>
          <w:sz w:val="22"/>
        </w:rPr>
        <w:t>O pedido é formalmente encerrado após confirmação positiva do utilizador. Um questionário de satisfação é enviado para recolha de feedback sobre a qualidade do serviço prestado.</w:t>
      </w:r>
    </w:p>
    <w:p>
      <w:pPr>
        <w:spacing w:after="80"/>
      </w:pPr>
      <w:r>
        <w:rPr>
          <w:color w:val="1E293B"/>
          <w:sz w:val="22"/>
        </w:rPr>
        <w:t>Passos chave: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Actualizar ticket com data e hora de encerramento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Registar tempo total de fulfillment para cálculo de métricas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Enviar questionário de satisfação ao utilizador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Actualizar CMDB se o pedido envolveu provisionamento de activos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Identificar oportunidades de automação com base no tipo de pedido</w:t>
      </w:r>
    </w:p>
    <w:p>
      <w:pPr>
        <w:spacing w:before="80"/>
      </w:pPr>
      <w:r>
        <w:rPr>
          <w:b/>
          <w:color w:val="15803D"/>
          <w:sz w:val="20"/>
        </w:rPr>
        <w:t>Critério de saída: Ticket encerrado com estado "concluído"; questionário de satisfação enviado; CMDB actualizada se aplicável.</w:t>
      </w:r>
    </w:p>
    <w:p/>
    <w:p>
      <w:pPr>
        <w:spacing w:before="240" w:after="120"/>
      </w:pPr>
      <w:r>
        <w:rPr>
          <w:b/>
          <w:color w:val="1B3A5C"/>
          <w:sz w:val="28"/>
        </w:rPr>
        <w:t>6.8 Monitorização e melhoria</w:t>
      </w:r>
    </w:p>
    <w:p>
      <w:r>
        <w:rPr>
          <w:b/>
          <w:color w:val="1B3A5C"/>
          <w:sz w:val="20"/>
        </w:rPr>
        <w:t xml:space="preserve">Responsável: </w:t>
      </w:r>
      <w:r>
        <w:rPr>
          <w:color w:val="1E293B"/>
          <w:sz w:val="20"/>
        </w:rPr>
        <w:t>Service desk manager</w:t>
      </w:r>
    </w:p>
    <w:p>
      <w:pPr>
        <w:spacing w:after="80"/>
      </w:pPr>
      <w:r>
        <w:rPr>
          <w:color w:val="1E293B"/>
          <w:sz w:val="22"/>
        </w:rPr>
        <w:t>O service desk manager analisa periodicamente os dados de pedidos para identificar tendências, padrões de volume e oportunidades de automação. Pedidos repetitivos com alto volume são candidatos prioritários para automação.</w:t>
      </w:r>
    </w:p>
    <w:p>
      <w:pPr>
        <w:spacing w:after="80"/>
      </w:pPr>
      <w:r>
        <w:rPr>
          <w:color w:val="1E293B"/>
          <w:sz w:val="22"/>
        </w:rPr>
        <w:t>Passos chave: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Compilar relatório de pedidos por categoria, volume e tempo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Identificar tipos de pedido com maior frequência e maior tempo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Propor novos serviços para automação ou self-service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Rever e actualizar modelos de fulfillment existentes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Partilhar resultados com stakeholders em reunião mensal</w:t>
      </w:r>
    </w:p>
    <w:p>
      <w:pPr>
        <w:spacing w:before="80"/>
      </w:pPr>
      <w:r>
        <w:rPr>
          <w:b/>
          <w:color w:val="15803D"/>
          <w:sz w:val="20"/>
        </w:rPr>
        <w:t>Critério de saída: Relatório de tendências produzido; propostas de melhoria documentadas e submetidas ao processo de melhoria contínua.</w:t>
      </w:r>
    </w:p>
    <w:p/>
    <w:p>
      <w:pPr>
        <w:spacing w:before="240" w:after="120"/>
      </w:pPr>
      <w:r>
        <w:rPr>
          <w:b/>
          <w:color w:val="1B3A5C"/>
          <w:sz w:val="36"/>
        </w:rPr>
        <w:t>7. Modelo RACI</w:t>
      </w:r>
    </w:p>
    <w:p>
      <w:pPr>
        <w:spacing w:after="80"/>
      </w:pPr>
      <w:r>
        <w:rPr>
          <w:color w:val="1E293B"/>
          <w:sz w:val="22"/>
        </w:rPr>
        <w:t>A tabela RACI define as responsabilidades de cada papel nos intervenientes no processo. R=Responsible (executa), A=Accountable (responde), C=Consulted (consultado), I=Informed (informado).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20"/>
        <w:gridCol w:w="1520"/>
        <w:gridCol w:w="1520"/>
        <w:gridCol w:w="1520"/>
        <w:gridCol w:w="1520"/>
        <w:gridCol w:w="1520"/>
      </w:tblGrid>
      <w:tr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Utilizador</w:t>
              <w:br/>
              <w:t>(UT)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Service desk</w:t>
              <w:br/>
              <w:t>(SD)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Fulfillment team</w:t>
              <w:br/>
              <w:t>(FT)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Aprovador</w:t>
              <w:br/>
              <w:t>(AP)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SD Manager</w:t>
              <w:br/>
              <w:t>(SM)</w:t>
            </w:r>
          </w:p>
        </w:tc>
      </w:tr>
      <w:tr>
        <w:tc>
          <w:tcPr>
            <w:tcW w:type="dxa" w:w="1520"/>
            <w:shd w:val="clear" w:color="auto" w:fill="FFFFFF"/>
          </w:tcPr>
          <w:p>
            <w:pPr>
              <w:jc w:val="left"/>
            </w:pPr>
            <w:r/>
            <w:r>
              <w:rPr>
                <w:color w:val="1E293B"/>
                <w:sz w:val="20"/>
              </w:rPr>
              <w:t>Submissão do pedido</w:t>
            </w:r>
          </w:p>
        </w:tc>
        <w:tc>
          <w:tcPr>
            <w:tcW w:type="dxa" w:w="1520"/>
            <w:shd w:val="clear" w:color="auto" w:fill="DBEAFE"/>
          </w:tcPr>
          <w:p>
            <w:pPr>
              <w:jc w:val="center"/>
            </w:pPr>
            <w:r/>
            <w:r>
              <w:rPr>
                <w:b/>
                <w:color w:val="1D4ED8"/>
                <w:sz w:val="20"/>
              </w:rPr>
              <w:t>R</w:t>
            </w:r>
          </w:p>
        </w:tc>
        <w:tc>
          <w:tcPr>
            <w:tcW w:type="dxa" w:w="1520"/>
            <w:shd w:val="clear" w:color="auto" w:fill="F3F4F6"/>
          </w:tcPr>
          <w:p>
            <w:pPr>
              <w:jc w:val="center"/>
            </w:pPr>
            <w:r/>
            <w:r>
              <w:rPr>
                <w:b/>
                <w:color w:val="6B7280"/>
                <w:sz w:val="20"/>
              </w:rPr>
              <w:t>I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</w:tr>
      <w:tr>
        <w:tc>
          <w:tcPr>
            <w:tcW w:type="dxa" w:w="1520"/>
            <w:shd w:val="clear" w:color="auto" w:fill="F8FAFC"/>
          </w:tcPr>
          <w:p>
            <w:pPr>
              <w:jc w:val="left"/>
            </w:pPr>
            <w:r/>
            <w:r>
              <w:rPr>
                <w:color w:val="1E293B"/>
                <w:sz w:val="20"/>
              </w:rPr>
              <w:t>Validação e categorização</w:t>
            </w:r>
          </w:p>
        </w:tc>
        <w:tc>
          <w:tcPr>
            <w:tcW w:type="dxa" w:w="1520"/>
            <w:shd w:val="clear" w:color="auto" w:fill="F3F4F6"/>
          </w:tcPr>
          <w:p>
            <w:pPr>
              <w:jc w:val="center"/>
            </w:pPr>
            <w:r/>
            <w:r>
              <w:rPr>
                <w:b/>
                <w:color w:val="6B7280"/>
                <w:sz w:val="20"/>
              </w:rPr>
              <w:t>I</w:t>
            </w:r>
          </w:p>
        </w:tc>
        <w:tc>
          <w:tcPr>
            <w:tcW w:type="dxa" w:w="1520"/>
            <w:shd w:val="clear" w:color="auto" w:fill="DBEAFE"/>
          </w:tcPr>
          <w:p>
            <w:pPr>
              <w:jc w:val="center"/>
            </w:pPr>
            <w:r/>
            <w:r>
              <w:rPr>
                <w:b/>
                <w:color w:val="1D4ED8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EE2E2"/>
          </w:tcPr>
          <w:p>
            <w:pPr>
              <w:jc w:val="center"/>
            </w:pPr>
            <w:r/>
            <w:r>
              <w:rPr>
                <w:b/>
                <w:color w:val="B91C1C"/>
                <w:sz w:val="20"/>
              </w:rPr>
              <w:t>A</w:t>
            </w:r>
          </w:p>
        </w:tc>
      </w:tr>
      <w:tr>
        <w:tc>
          <w:tcPr>
            <w:tcW w:type="dxa" w:w="1520"/>
            <w:shd w:val="clear" w:color="auto" w:fill="FFFFFF"/>
          </w:tcPr>
          <w:p>
            <w:pPr>
              <w:jc w:val="left"/>
            </w:pPr>
            <w:r/>
            <w:r>
              <w:rPr>
                <w:color w:val="1E293B"/>
                <w:sz w:val="20"/>
              </w:rPr>
              <w:t>Aprovação</w:t>
            </w:r>
          </w:p>
        </w:tc>
        <w:tc>
          <w:tcPr>
            <w:tcW w:type="dxa" w:w="1520"/>
            <w:shd w:val="clear" w:color="auto" w:fill="F3F4F6"/>
          </w:tcPr>
          <w:p>
            <w:pPr>
              <w:jc w:val="center"/>
            </w:pPr>
            <w:r/>
            <w:r>
              <w:rPr>
                <w:b/>
                <w:color w:val="6B7280"/>
                <w:sz w:val="20"/>
              </w:rPr>
              <w:t>I</w:t>
            </w:r>
          </w:p>
        </w:tc>
        <w:tc>
          <w:tcPr>
            <w:tcW w:type="dxa" w:w="1520"/>
            <w:shd w:val="clear" w:color="auto" w:fill="F3F4F6"/>
          </w:tcPr>
          <w:p>
            <w:pPr>
              <w:jc w:val="center"/>
            </w:pPr>
            <w:r/>
            <w:r>
              <w:rPr>
                <w:b/>
                <w:color w:val="6B7280"/>
                <w:sz w:val="20"/>
              </w:rPr>
              <w:t>I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DBEAFE"/>
          </w:tcPr>
          <w:p>
            <w:pPr>
              <w:jc w:val="center"/>
            </w:pPr>
            <w:r/>
            <w:r>
              <w:rPr>
                <w:b/>
                <w:color w:val="1D4ED8"/>
                <w:sz w:val="20"/>
              </w:rPr>
              <w:t>R</w:t>
            </w:r>
          </w:p>
        </w:tc>
        <w:tc>
          <w:tcPr>
            <w:tcW w:type="dxa" w:w="1520"/>
            <w:shd w:val="clear" w:color="auto" w:fill="F3F4F6"/>
          </w:tcPr>
          <w:p>
            <w:pPr>
              <w:jc w:val="center"/>
            </w:pPr>
            <w:r/>
            <w:r>
              <w:rPr>
                <w:b/>
                <w:color w:val="6B7280"/>
                <w:sz w:val="20"/>
              </w:rPr>
              <w:t>I</w:t>
            </w:r>
          </w:p>
        </w:tc>
      </w:tr>
      <w:tr>
        <w:tc>
          <w:tcPr>
            <w:tcW w:type="dxa" w:w="1520"/>
            <w:shd w:val="clear" w:color="auto" w:fill="F8FAFC"/>
          </w:tcPr>
          <w:p>
            <w:pPr>
              <w:jc w:val="left"/>
            </w:pPr>
            <w:r/>
            <w:r>
              <w:rPr>
                <w:color w:val="1E293B"/>
                <w:sz w:val="20"/>
              </w:rPr>
              <w:t>Atribuição ao fulfillment team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DBEAFE"/>
          </w:tcPr>
          <w:p>
            <w:pPr>
              <w:jc w:val="center"/>
            </w:pPr>
            <w:r/>
            <w:r>
              <w:rPr>
                <w:b/>
                <w:color w:val="1D4ED8"/>
                <w:sz w:val="20"/>
              </w:rPr>
              <w:t>R</w:t>
            </w:r>
          </w:p>
        </w:tc>
        <w:tc>
          <w:tcPr>
            <w:tcW w:type="dxa" w:w="1520"/>
            <w:shd w:val="clear" w:color="auto" w:fill="F3F4F6"/>
          </w:tcPr>
          <w:p>
            <w:pPr>
              <w:jc w:val="center"/>
            </w:pPr>
            <w:r/>
            <w:r>
              <w:rPr>
                <w:b/>
                <w:color w:val="6B7280"/>
                <w:sz w:val="20"/>
              </w:rPr>
              <w:t>I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EE2E2"/>
          </w:tcPr>
          <w:p>
            <w:pPr>
              <w:jc w:val="center"/>
            </w:pPr>
            <w:r/>
            <w:r>
              <w:rPr>
                <w:b/>
                <w:color w:val="B91C1C"/>
                <w:sz w:val="20"/>
              </w:rPr>
              <w:t>A</w:t>
            </w:r>
          </w:p>
        </w:tc>
      </w:tr>
      <w:tr>
        <w:tc>
          <w:tcPr>
            <w:tcW w:type="dxa" w:w="1520"/>
            <w:shd w:val="clear" w:color="auto" w:fill="FFFFFF"/>
          </w:tcPr>
          <w:p>
            <w:pPr>
              <w:jc w:val="left"/>
            </w:pPr>
            <w:r/>
            <w:r>
              <w:rPr>
                <w:color w:val="1E293B"/>
                <w:sz w:val="20"/>
              </w:rPr>
              <w:t>Fulfillment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EF9C3"/>
          </w:tcPr>
          <w:p>
            <w:pPr>
              <w:jc w:val="center"/>
            </w:pPr>
            <w:r/>
            <w:r>
              <w:rPr>
                <w:b/>
                <w:color w:val="92400E"/>
                <w:sz w:val="20"/>
              </w:rPr>
              <w:t>C</w:t>
            </w:r>
          </w:p>
        </w:tc>
        <w:tc>
          <w:tcPr>
            <w:tcW w:type="dxa" w:w="1520"/>
            <w:shd w:val="clear" w:color="auto" w:fill="DBEAFE"/>
          </w:tcPr>
          <w:p>
            <w:pPr>
              <w:jc w:val="center"/>
            </w:pPr>
            <w:r/>
            <w:r>
              <w:rPr>
                <w:b/>
                <w:color w:val="1D4ED8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EE2E2"/>
          </w:tcPr>
          <w:p>
            <w:pPr>
              <w:jc w:val="center"/>
            </w:pPr>
            <w:r/>
            <w:r>
              <w:rPr>
                <w:b/>
                <w:color w:val="B91C1C"/>
                <w:sz w:val="20"/>
              </w:rPr>
              <w:t>A</w:t>
            </w:r>
          </w:p>
        </w:tc>
      </w:tr>
      <w:tr>
        <w:tc>
          <w:tcPr>
            <w:tcW w:type="dxa" w:w="1520"/>
            <w:shd w:val="clear" w:color="auto" w:fill="F8FAFC"/>
          </w:tcPr>
          <w:p>
            <w:pPr>
              <w:jc w:val="left"/>
            </w:pPr>
            <w:r/>
            <w:r>
              <w:rPr>
                <w:color w:val="1E293B"/>
                <w:sz w:val="20"/>
              </w:rPr>
              <w:t>Verificação com o utilizador</w:t>
            </w:r>
          </w:p>
        </w:tc>
        <w:tc>
          <w:tcPr>
            <w:tcW w:type="dxa" w:w="1520"/>
            <w:shd w:val="clear" w:color="auto" w:fill="DBEAFE"/>
          </w:tcPr>
          <w:p>
            <w:pPr>
              <w:jc w:val="center"/>
            </w:pPr>
            <w:r/>
            <w:r>
              <w:rPr>
                <w:b/>
                <w:color w:val="1D4ED8"/>
                <w:sz w:val="20"/>
              </w:rPr>
              <w:t>R</w:t>
            </w:r>
          </w:p>
        </w:tc>
        <w:tc>
          <w:tcPr>
            <w:tcW w:type="dxa" w:w="1520"/>
            <w:shd w:val="clear" w:color="auto" w:fill="DBEAFE"/>
          </w:tcPr>
          <w:p>
            <w:pPr>
              <w:jc w:val="center"/>
            </w:pPr>
            <w:r/>
            <w:r>
              <w:rPr>
                <w:b/>
                <w:color w:val="1D4ED8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3F4F6"/>
          </w:tcPr>
          <w:p>
            <w:pPr>
              <w:jc w:val="center"/>
            </w:pPr>
            <w:r/>
            <w:r>
              <w:rPr>
                <w:b/>
                <w:color w:val="6B7280"/>
                <w:sz w:val="20"/>
              </w:rPr>
              <w:t>I</w:t>
            </w:r>
          </w:p>
        </w:tc>
      </w:tr>
      <w:tr>
        <w:tc>
          <w:tcPr>
            <w:tcW w:type="dxa" w:w="1520"/>
            <w:shd w:val="clear" w:color="auto" w:fill="FFFFFF"/>
          </w:tcPr>
          <w:p>
            <w:pPr>
              <w:jc w:val="left"/>
            </w:pPr>
            <w:r/>
            <w:r>
              <w:rPr>
                <w:color w:val="1E293B"/>
                <w:sz w:val="20"/>
              </w:rPr>
              <w:t>Encerramento</w:t>
            </w:r>
          </w:p>
        </w:tc>
        <w:tc>
          <w:tcPr>
            <w:tcW w:type="dxa" w:w="1520"/>
            <w:shd w:val="clear" w:color="auto" w:fill="F3F4F6"/>
          </w:tcPr>
          <w:p>
            <w:pPr>
              <w:jc w:val="center"/>
            </w:pPr>
            <w:r/>
            <w:r>
              <w:rPr>
                <w:b/>
                <w:color w:val="6B7280"/>
                <w:sz w:val="20"/>
              </w:rPr>
              <w:t>I</w:t>
            </w:r>
          </w:p>
        </w:tc>
        <w:tc>
          <w:tcPr>
            <w:tcW w:type="dxa" w:w="1520"/>
            <w:shd w:val="clear" w:color="auto" w:fill="DBEAFE"/>
          </w:tcPr>
          <w:p>
            <w:pPr>
              <w:jc w:val="center"/>
            </w:pPr>
            <w:r/>
            <w:r>
              <w:rPr>
                <w:b/>
                <w:color w:val="1D4ED8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EE2E2"/>
          </w:tcPr>
          <w:p>
            <w:pPr>
              <w:jc w:val="center"/>
            </w:pPr>
            <w:r/>
            <w:r>
              <w:rPr>
                <w:b/>
                <w:color w:val="B91C1C"/>
                <w:sz w:val="20"/>
              </w:rPr>
              <w:t>A</w:t>
            </w:r>
          </w:p>
        </w:tc>
      </w:tr>
      <w:tr>
        <w:tc>
          <w:tcPr>
            <w:tcW w:type="dxa" w:w="1520"/>
            <w:shd w:val="clear" w:color="auto" w:fill="F8FAFC"/>
          </w:tcPr>
          <w:p>
            <w:pPr>
              <w:jc w:val="left"/>
            </w:pPr>
            <w:r/>
            <w:r>
              <w:rPr>
                <w:color w:val="1E293B"/>
                <w:sz w:val="20"/>
              </w:rPr>
              <w:t>Monitorização e melhoria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EF9C3"/>
          </w:tcPr>
          <w:p>
            <w:pPr>
              <w:jc w:val="center"/>
            </w:pPr>
            <w:r/>
            <w:r>
              <w:rPr>
                <w:b/>
                <w:color w:val="92400E"/>
                <w:sz w:val="20"/>
              </w:rPr>
              <w:t>C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b w:val="0"/>
                <w:color w:val="94A3B8"/>
                <w:sz w:val="20"/>
              </w:rPr>
              <w:t>-</w:t>
            </w:r>
          </w:p>
        </w:tc>
        <w:tc>
          <w:tcPr>
            <w:tcW w:type="dxa" w:w="1520"/>
            <w:shd w:val="clear" w:color="auto" w:fill="DBEAFE"/>
          </w:tcPr>
          <w:p>
            <w:pPr>
              <w:jc w:val="center"/>
            </w:pPr>
            <w:r/>
            <w:r>
              <w:rPr>
                <w:b/>
                <w:color w:val="1D4ED8"/>
                <w:sz w:val="20"/>
              </w:rPr>
              <w:t>R</w:t>
            </w:r>
          </w:p>
        </w:tc>
      </w:tr>
    </w:tbl>
    <w:p/>
    <w:p>
      <w:pPr>
        <w:spacing w:before="240" w:after="120"/>
      </w:pPr>
      <w:r>
        <w:rPr>
          <w:b/>
          <w:color w:val="1B3A5C"/>
          <w:sz w:val="36"/>
        </w:rPr>
        <w:t>8. Métricas e KPIs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41"/>
        <w:gridCol w:w="3041"/>
        <w:gridCol w:w="3041"/>
      </w:tblGrid>
      <w:tr>
        <w:tc>
          <w:tcPr>
            <w:tcW w:type="dxa" w:w="3041"/>
            <w:shd w:val="clear" w:color="auto" w:fill="1E293B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3041"/>
            <w:shd w:val="clear" w:color="auto" w:fill="1E293B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3041"/>
            <w:shd w:val="clear" w:color="auto" w:fill="1E293B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Target sugerido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b/>
                <w:color w:val="1B3A5C"/>
                <w:sz w:val="20"/>
              </w:rPr>
              <w:t>Tempo médio de fulfillment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Tempo médio desde a submissão até à conclusão do fulfillment</w:t>
            </w:r>
          </w:p>
        </w:tc>
        <w:tc>
          <w:tcPr>
            <w:tcW w:type="dxa" w:w="3041"/>
            <w:shd w:val="clear" w:color="auto" w:fill="D1FAE5"/>
          </w:tcPr>
          <w:p>
            <w:pPr>
              <w:jc w:val="center"/>
            </w:pPr>
            <w:r/>
            <w:r>
              <w:rPr>
                <w:b/>
                <w:color w:val="15803D"/>
                <w:sz w:val="20"/>
              </w:rPr>
              <w:t>&lt; 24h (standard) / &lt; 4h (urgente)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b/>
                <w:color w:val="1B3A5C"/>
                <w:sz w:val="20"/>
              </w:rPr>
              <w:t>Taxa de automação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Percentagem de pedidos executados automaticamente sem intervenção humana</w:t>
            </w:r>
          </w:p>
        </w:tc>
        <w:tc>
          <w:tcPr>
            <w:tcW w:type="dxa" w:w="3041"/>
            <w:shd w:val="clear" w:color="auto" w:fill="D1FAE5"/>
          </w:tcPr>
          <w:p>
            <w:pPr>
              <w:jc w:val="center"/>
            </w:pPr>
            <w:r/>
            <w:r>
              <w:rPr>
                <w:b/>
                <w:color w:val="15803D"/>
                <w:sz w:val="20"/>
              </w:rPr>
              <w:t>&gt; 40%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b/>
                <w:color w:val="1B3A5C"/>
                <w:sz w:val="20"/>
              </w:rPr>
              <w:t>Satisfação do utilizador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Classificação média no questionário pós-fulfillment</w:t>
            </w:r>
          </w:p>
        </w:tc>
        <w:tc>
          <w:tcPr>
            <w:tcW w:type="dxa" w:w="3041"/>
            <w:shd w:val="clear" w:color="auto" w:fill="D1FAE5"/>
          </w:tcPr>
          <w:p>
            <w:pPr>
              <w:jc w:val="center"/>
            </w:pPr>
            <w:r/>
            <w:r>
              <w:rPr>
                <w:b/>
                <w:color w:val="15803D"/>
                <w:sz w:val="20"/>
              </w:rPr>
              <w:t>&gt; 4,2 / 5,0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b/>
                <w:color w:val="1B3A5C"/>
                <w:sz w:val="20"/>
              </w:rPr>
              <w:t>Pedidos por categoria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Distribuição do volume de pedidos por tipo</w:t>
            </w:r>
          </w:p>
        </w:tc>
        <w:tc>
          <w:tcPr>
            <w:tcW w:type="dxa" w:w="3041"/>
            <w:shd w:val="clear" w:color="auto" w:fill="D1FAE5"/>
          </w:tcPr>
          <w:p>
            <w:pPr>
              <w:jc w:val="center"/>
            </w:pPr>
            <w:r/>
            <w:r>
              <w:rPr>
                <w:b/>
                <w:color w:val="15803D"/>
                <w:sz w:val="20"/>
              </w:rPr>
              <w:t>Análise de tendências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b/>
                <w:color w:val="1B3A5C"/>
                <w:sz w:val="20"/>
              </w:rPr>
              <w:t>Taxa de rejeição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Percentagem de pedidos rejeitados na fase de aprovação</w:t>
            </w:r>
          </w:p>
        </w:tc>
        <w:tc>
          <w:tcPr>
            <w:tcW w:type="dxa" w:w="3041"/>
            <w:shd w:val="clear" w:color="auto" w:fill="D1FAE5"/>
          </w:tcPr>
          <w:p>
            <w:pPr>
              <w:jc w:val="center"/>
            </w:pPr>
            <w:r/>
            <w:r>
              <w:rPr>
                <w:b/>
                <w:color w:val="15803D"/>
                <w:sz w:val="20"/>
              </w:rPr>
              <w:t>&lt; 10%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b/>
                <w:color w:val="1B3A5C"/>
                <w:sz w:val="20"/>
              </w:rPr>
              <w:t>Pedidos reabertos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Percentagem de pedidos reabertos após encerramento</w:t>
            </w:r>
          </w:p>
        </w:tc>
        <w:tc>
          <w:tcPr>
            <w:tcW w:type="dxa" w:w="3041"/>
            <w:shd w:val="clear" w:color="auto" w:fill="D1FAE5"/>
          </w:tcPr>
          <w:p>
            <w:pPr>
              <w:jc w:val="center"/>
            </w:pPr>
            <w:r/>
            <w:r>
              <w:rPr>
                <w:b/>
                <w:color w:val="15803D"/>
                <w:sz w:val="20"/>
              </w:rPr>
              <w:t>&lt; 3%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b/>
                <w:color w:val="1B3A5C"/>
                <w:sz w:val="20"/>
              </w:rPr>
              <w:t>Cumprimento de SLA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Percentagem de pedidos concluídos dentro do tempo acordado</w:t>
            </w:r>
          </w:p>
        </w:tc>
        <w:tc>
          <w:tcPr>
            <w:tcW w:type="dxa" w:w="3041"/>
            <w:shd w:val="clear" w:color="auto" w:fill="D1FAE5"/>
          </w:tcPr>
          <w:p>
            <w:pPr>
              <w:jc w:val="center"/>
            </w:pPr>
            <w:r/>
            <w:r>
              <w:rPr>
                <w:b/>
                <w:color w:val="15803D"/>
                <w:sz w:val="20"/>
              </w:rPr>
              <w:t>&gt; 95%</w:t>
            </w:r>
          </w:p>
        </w:tc>
      </w:tr>
    </w:tbl>
    <w:p/>
    <w:p>
      <w:pPr>
        <w:spacing w:before="240" w:after="120"/>
      </w:pPr>
      <w:r>
        <w:rPr>
          <w:b/>
          <w:color w:val="1B3A5C"/>
          <w:sz w:val="36"/>
        </w:rPr>
        <w:t>9. Interfaces com outros processos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41"/>
        <w:gridCol w:w="3041"/>
        <w:gridCol w:w="3041"/>
      </w:tblGrid>
      <w:tr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Direcção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b/>
                <w:color w:val="1B3A5C"/>
                <w:sz w:val="20"/>
              </w:rPr>
              <w:t>Gestao de incidentes</w:t>
            </w:r>
          </w:p>
        </w:tc>
        <w:tc>
          <w:tcPr>
            <w:tcW w:type="dxa" w:w="3041"/>
            <w:shd w:val="clear" w:color="auto" w:fill="FDF4FF"/>
          </w:tcPr>
          <w:p>
            <w:pPr>
              <w:jc w:val="center"/>
            </w:pPr>
            <w:r/>
            <w:r>
              <w:rPr>
                <w:color w:val="1E293B"/>
                <w:sz w:val="20"/>
              </w:rPr>
              <w:t>Saida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Quando a execução de um pedido revela uma interrupção de serviço subjacente, é criado um incidente para tratamento separado.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b/>
                <w:color w:val="1B3A5C"/>
                <w:sz w:val="20"/>
              </w:rPr>
              <w:t>Change enablement</w:t>
            </w:r>
          </w:p>
        </w:tc>
        <w:tc>
          <w:tcPr>
            <w:tcW w:type="dxa" w:w="3041"/>
            <w:shd w:val="clear" w:color="auto" w:fill="FDF4FF"/>
          </w:tcPr>
          <w:p>
            <w:pPr>
              <w:jc w:val="center"/>
            </w:pPr>
            <w:r/>
            <w:r>
              <w:rPr>
                <w:color w:val="1E293B"/>
                <w:sz w:val="20"/>
              </w:rPr>
              <w:t>Saida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Pedidos complexos que impliquem alterações ao ambiente de produção são encaminhados para o processo de change enablement.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b/>
                <w:color w:val="1B3A5C"/>
                <w:sz w:val="20"/>
              </w:rPr>
              <w:t>Catálogo de serviços</w:t>
            </w:r>
          </w:p>
        </w:tc>
        <w:tc>
          <w:tcPr>
            <w:tcW w:type="dxa" w:w="3041"/>
            <w:shd w:val="clear" w:color="auto" w:fill="EFF6FF"/>
          </w:tcPr>
          <w:p>
            <w:pPr>
              <w:jc w:val="center"/>
            </w:pPr>
            <w:r/>
            <w:r>
              <w:rPr>
                <w:color w:val="1E293B"/>
                <w:sz w:val="20"/>
              </w:rPr>
              <w:t>Entrada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Define os serviços disponíveis para pedido, os SLAs associados, o modelo de fulfillment e se é necessária aprovação prévia.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b/>
                <w:color w:val="1B3A5C"/>
                <w:sz w:val="20"/>
              </w:rPr>
              <w:t>Gestao do conhecimento</w:t>
            </w:r>
          </w:p>
        </w:tc>
        <w:tc>
          <w:tcPr>
            <w:tcW w:type="dxa" w:w="3041"/>
            <w:shd w:val="clear" w:color="auto" w:fill="FDF4FF"/>
          </w:tcPr>
          <w:p>
            <w:pPr>
              <w:jc w:val="center"/>
            </w:pPr>
            <w:r/>
            <w:r>
              <w:rPr>
                <w:color w:val="1E293B"/>
                <w:sz w:val="20"/>
              </w:rPr>
              <w:t>Saida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Artigos de auto-serviço na base de conhecimento reduzem o volume de pedidos ao service desk, aumentando a taxa de self-service.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b/>
                <w:color w:val="1B3A5C"/>
                <w:sz w:val="20"/>
              </w:rPr>
              <w:t>CMDB</w:t>
            </w:r>
          </w:p>
        </w:tc>
        <w:tc>
          <w:tcPr>
            <w:tcW w:type="dxa" w:w="3041"/>
            <w:shd w:val="clear" w:color="auto" w:fill="EFF6FF"/>
          </w:tcPr>
          <w:p>
            <w:pPr>
              <w:jc w:val="center"/>
            </w:pPr>
            <w:r/>
            <w:r>
              <w:rPr>
                <w:color w:val="1E293B"/>
                <w:sz w:val="20"/>
              </w:rPr>
              <w:t>Entrada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Utilizada para identificar recursos e CIs associados ao pedido, como utilizadores, dispositivos, licenças e direitos de acesso.</w:t>
            </w:r>
          </w:p>
        </w:tc>
      </w:tr>
    </w:tbl>
    <w:p/>
    <w:p>
      <w:pPr>
        <w:spacing w:before="240" w:after="120"/>
      </w:pPr>
      <w:r>
        <w:rPr>
          <w:b/>
          <w:color w:val="1B3A5C"/>
          <w:sz w:val="36"/>
        </w:rPr>
        <w:t>10. Ferramentas e sistemas</w:t>
      </w:r>
    </w:p>
    <w:p>
      <w:pPr>
        <w:spacing w:after="80"/>
      </w:pPr>
      <w:r>
        <w:rPr>
          <w:color w:val="1E293B"/>
          <w:sz w:val="22"/>
        </w:rPr>
        <w:t>A implementação eficaz da gestão de pedidos de serviço requer suporte de ferramentas adequadas. A lista seguinte identifica as categorias de ferramentas necessárias e exemplos de sistemas utilizados pela organização XPTO.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41"/>
        <w:gridCol w:w="3041"/>
        <w:gridCol w:w="3041"/>
      </w:tblGrid>
      <w:tr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Categoria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Função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Exemplos (XPTO)</w:t>
            </w:r>
          </w:p>
        </w:tc>
      </w:tr>
      <w:tr>
        <w:tc>
          <w:tcPr>
            <w:tcW w:type="dxa" w:w="304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Ferramenta ITSM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Sistema central de gestão de pedidos, tickets e SLAs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i/>
                <w:color w:val="64748B"/>
                <w:sz w:val="20"/>
              </w:rPr>
              <w:t>ServiceNow, Jira Service Management, BMC Helix, Freshservice</w:t>
            </w:r>
          </w:p>
        </w:tc>
      </w:tr>
      <w:tr>
        <w:tc>
          <w:tcPr>
            <w:tcW w:type="dxa" w:w="304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Portal de auto-serviço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Interface web para submissão e acompanhamento de pedidos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i/>
                <w:color w:val="64748B"/>
                <w:sz w:val="20"/>
              </w:rPr>
              <w:t>Integrado na ferramenta ITSM ou solução dedicada</w:t>
            </w:r>
          </w:p>
        </w:tc>
      </w:tr>
      <w:tr>
        <w:tc>
          <w:tcPr>
            <w:tcW w:type="dxa" w:w="304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Catálogo de serviços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Módulo de catálogo dentro da ferramenta ITSM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i/>
                <w:color w:val="64748B"/>
                <w:sz w:val="20"/>
              </w:rPr>
              <w:t>ServiceNow Service Catalog, Jira Service Catalog</w:t>
            </w:r>
          </w:p>
        </w:tc>
      </w:tr>
      <w:tr>
        <w:tc>
          <w:tcPr>
            <w:tcW w:type="dxa" w:w="304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Motor de workflows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Automação de aprovações, notificações e fulfillment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i/>
                <w:color w:val="64748B"/>
                <w:sz w:val="20"/>
              </w:rPr>
              <w:t>Power Automate, ServiceNow Flow Designer, Zapier</w:t>
            </w:r>
          </w:p>
        </w:tc>
      </w:tr>
      <w:tr>
        <w:tc>
          <w:tcPr>
            <w:tcW w:type="dxa" w:w="304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Directory Services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Gestão de identidades e acessos para pedidos de provisionamento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i/>
                <w:color w:val="64748B"/>
                <w:sz w:val="20"/>
              </w:rPr>
              <w:t>Active Directory, Azure AD, Okta</w:t>
            </w:r>
          </w:p>
        </w:tc>
      </w:tr>
      <w:tr>
        <w:tc>
          <w:tcPr>
            <w:tcW w:type="dxa" w:w="304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CMDB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color w:val="1E293B"/>
                <w:sz w:val="20"/>
              </w:rPr>
              <w:t>Base de dados de gestao de configuração para rastreabilidade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i/>
                <w:color w:val="64748B"/>
                <w:sz w:val="20"/>
              </w:rPr>
              <w:t>ServiceNow CMDB, iTop, module CMDB da ferramenta ITSM</w:t>
            </w:r>
          </w:p>
        </w:tc>
      </w:tr>
    </w:tbl>
    <w:p/>
    <w:p>
      <w:pPr>
        <w:ind w:left="567" w:right="567"/>
        <w:shd w:val="clear" w:fill="FEF9C3"/>
      </w:pPr>
      <w:r>
        <w:rPr>
          <w:color w:val="713F12"/>
          <w:sz w:val="20"/>
        </w:rPr>
        <w:t>XPTO  --  Substitua "XPTO" pelo nome da sua organização e preencha a coluna "Exemplos" com as ferramentas efectivamente utilizadas no seu ambiente.</w:t>
      </w:r>
    </w:p>
    <w:p>
      <w:pPr>
        <w:spacing w:before="240" w:after="120"/>
      </w:pPr>
      <w:r>
        <w:rPr>
          <w:b/>
          <w:color w:val="1B3A5C"/>
          <w:sz w:val="36"/>
        </w:rPr>
        <w:t>11. Melhoria contínua</w:t>
      </w:r>
    </w:p>
    <w:p>
      <w:pPr>
        <w:spacing w:after="80"/>
      </w:pPr>
      <w:r>
        <w:rPr>
          <w:color w:val="1E293B"/>
          <w:sz w:val="22"/>
        </w:rPr>
        <w:t>A melhoria contínua do processo de gestão de pedidos de serviço foca-se em três áreas principais: automação, qualidade do catálogo e satisfação do utilizador.</w:t>
      </w:r>
    </w:p>
    <w:p>
      <w:pPr>
        <w:spacing w:before="240" w:after="120"/>
      </w:pPr>
      <w:r>
        <w:rPr>
          <w:b/>
          <w:color w:val="1B3A5C"/>
          <w:sz w:val="28"/>
        </w:rPr>
        <w:t>11.1 Automação progressiva</w:t>
      </w:r>
    </w:p>
    <w:p>
      <w:pPr>
        <w:spacing w:after="80"/>
      </w:pPr>
      <w:r>
        <w:rPr>
          <w:color w:val="1E293B"/>
          <w:sz w:val="22"/>
        </w:rPr>
        <w:t>O objectivo é aumentar gradualmente a taxa de automação, reduzindo o esforço manual no fulfillment e melhorando os tempos de resposta. Os critérios para priorização de automação são: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Volume elevado: pedidos com mais de 20 ocorrências por mês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Procedimento simples e repetível, sem decisão humana necessária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Risco baixo: reversível e sem impacto em sistemas críticos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Ferramentas disponíveis: integração técnica viável com as ferramentas actuais</w:t>
      </w:r>
    </w:p>
    <w:p>
      <w:pPr>
        <w:spacing w:before="240" w:after="120"/>
      </w:pPr>
      <w:r>
        <w:rPr>
          <w:b/>
          <w:color w:val="1B3A5C"/>
          <w:sz w:val="28"/>
        </w:rPr>
        <w:t>11.2 Qualidade do catálogo</w:t>
      </w:r>
    </w:p>
    <w:p>
      <w:pPr>
        <w:spacing w:after="80"/>
      </w:pPr>
      <w:r>
        <w:rPr>
          <w:color w:val="1E293B"/>
          <w:sz w:val="22"/>
        </w:rPr>
        <w:t>Um catálogo de qualidade reduz pedidos mal classificados, diminui o tempo de validação pelo service desk e melhora a experiência do utilizador no portal de auto-serviço.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Revisão semestral de todos os itens do catálogo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Remoção de serviços descontinuados ou raramente solicitados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Actualização de SLAs com base nos dados reais de fulfillment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Adição de novas descrições e exemplos com base no feedback dos utilizadores</w:t>
      </w:r>
    </w:p>
    <w:p>
      <w:pPr>
        <w:spacing w:before="240" w:after="120"/>
      </w:pPr>
      <w:r>
        <w:rPr>
          <w:b/>
          <w:color w:val="1B3A5C"/>
          <w:sz w:val="28"/>
        </w:rPr>
        <w:t>11.3 Satisfação do utilizador</w:t>
      </w:r>
    </w:p>
    <w:p>
      <w:pPr>
        <w:spacing w:after="80"/>
      </w:pPr>
      <w:r>
        <w:rPr>
          <w:color w:val="1E293B"/>
          <w:sz w:val="22"/>
        </w:rPr>
        <w:t>O questionário de satisfação enviado após cada encerramento é a principal fonte de feedback qualitativo sobre o processo. O service desk manager deve analisar as respostas mensalmente e identificar acções de melhoria para os serviços com classificação inferior ao target.</w:t>
      </w:r>
    </w:p>
    <w:p/>
    <w:p>
      <w:pPr>
        <w:ind w:left="567" w:right="567"/>
        <w:shd w:val="clear" w:fill="FEF9C3"/>
      </w:pPr>
      <w:r>
        <w:rPr>
          <w:color w:val="713F12"/>
          <w:sz w:val="20"/>
        </w:rPr>
        <w:t>XPTO  --  Este documento é um template desenvolvido pela Better Skills. Adapte todas as referências à organização XPTO, ferramentas específicas e políticas internas antes de publicar internamente. Para suporte à implementação, contacte: comercial@better-skills.com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