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56"/>
        </w:rPr>
        <w:t>Better</w:t>
      </w:r>
      <w:r>
        <w:rPr>
          <w:b/>
          <w:color w:val="0099FF"/>
          <w:sz w:val="56"/>
        </w:rPr>
        <w:t>Skills</w:t>
      </w:r>
    </w:p>
    <w:p/>
    <w:p>
      <w:pPr>
        <w:jc w:val="center"/>
      </w:pPr>
      <w:r>
        <w:rPr>
          <w:b/>
          <w:color w:val="1B3A5C"/>
          <w:sz w:val="44"/>
        </w:rPr>
        <w:t>Modelo de Fulfillment</w:t>
      </w:r>
    </w:p>
    <w:p>
      <w:pPr>
        <w:jc w:val="center"/>
      </w:pPr>
      <w:r>
        <w:rPr>
          <w:color w:val="64748B"/>
          <w:sz w:val="26"/>
        </w:rPr>
        <w:t>Template para documentar o fulfillment de um tipo de pedido</w:t>
      </w:r>
    </w:p>
    <w:p/>
    <w:p/>
    <w:p/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>
              <w:rPr>
                <w:b/>
                <w:color w:val="1B3A5C"/>
              </w:rPr>
              <w:t>Versão</w:t>
            </w:r>
          </w:p>
        </w:tc>
        <w:tc>
          <w:tcPr>
            <w:tcW w:type="dxa" w:w="4561"/>
          </w:tcPr>
          <w:p>
            <w:r>
              <w:t>1.0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>
              <w:rPr>
                <w:b/>
                <w:color w:val="1B3A5C"/>
              </w:rPr>
              <w:t>Data</w:t>
            </w:r>
          </w:p>
        </w:tc>
        <w:tc>
          <w:tcPr>
            <w:tcW w:type="dxa" w:w="4561"/>
          </w:tcPr>
          <w:p>
            <w:r>
              <w:t>Março 2026</w:t>
            </w:r>
          </w:p>
        </w:tc>
      </w:tr>
    </w:tbl>
    <w:p>
      <w:r>
        <w:br w:type="page"/>
      </w:r>
    </w:p>
    <w:p>
      <w:pPr>
        <w:shd w:val="clear" w:fill="FEF9C3"/>
      </w:pPr>
      <w:r>
        <w:rPr>
          <w:color w:val="713F12"/>
          <w:sz w:val="20"/>
        </w:rPr>
        <w:t>XPTO  --  Como utilizar este template: este documento deve ser preenchido para CADA tipo de pedido de serviço que a sua organização oferece no catálogo. Cada modelo de fulfillment documenta os passos exactos que o fulfillment team deve executar. Guarde um ficheiro separado por tipo de pedido, com o nome do serviço no ficheiro.</w:t>
      </w:r>
    </w:p>
    <w:p/>
    <w:p>
      <w:pPr>
        <w:spacing w:before="240" w:after="120"/>
      </w:pPr>
      <w:r>
        <w:rPr>
          <w:b/>
          <w:color w:val="1B3A5C"/>
          <w:sz w:val="36"/>
        </w:rPr>
        <w:t>1. Identificação do modelo de fulfillment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Nome do serviço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[Nome do serviço conforme catálogo - ex.: Acesso VPN remoto]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Código do serviço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[Código único - ex.: SVC-042]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Categoria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[Categoria - ex.: Acesso e identidade]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Modelo de fulfillment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[Automático / Service desk / Equipa técnica]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Aprovação necessária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[Sim/Não - se Sim, indicar aprovador]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SLA standard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[ex.: 4 horas]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SLA urgente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[ex.: 2 horas]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Versão do modelo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[ex.: 1.2]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Data de última revisão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[ex.: 2026-03-25]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/>
            <w:r>
              <w:rPr>
                <w:b/>
                <w:color w:val="1B3A5C"/>
                <w:sz w:val="20"/>
              </w:rPr>
              <w:t>Responsável pelo modelo</w:t>
            </w:r>
          </w:p>
        </w:tc>
        <w:tc>
          <w:tcPr>
            <w:tcW w:type="dxa" w:w="4561"/>
            <w:shd w:val="clear" w:color="auto" w:fill="FFFBEB"/>
          </w:tcPr>
          <w:p>
            <w:r/>
            <w:r>
              <w:rPr>
                <w:i/>
                <w:color w:val="64748B"/>
                <w:sz w:val="20"/>
              </w:rPr>
              <w:t>[Nome e função do responsável]</w:t>
            </w:r>
          </w:p>
        </w:tc>
      </w:tr>
    </w:tbl>
    <w:p/>
    <w:p>
      <w:pPr>
        <w:spacing w:before="240" w:after="120"/>
      </w:pPr>
      <w:r>
        <w:rPr>
          <w:b/>
          <w:color w:val="1B3A5C"/>
          <w:sz w:val="36"/>
        </w:rPr>
        <w:t>2. Pré-condições</w:t>
      </w:r>
    </w:p>
    <w:p>
      <w:pPr>
        <w:spacing w:after="80"/>
      </w:pPr>
      <w:r>
        <w:rPr>
          <w:color w:val="1E293B"/>
          <w:sz w:val="22"/>
        </w:rPr>
        <w:t>Antes de iniciar o fulfillment, verificar que as seguintes condições estão cumpridas: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[Pré-condição 1 - ex.: Pedido aprovado pelo gestor directo]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[Pré-condição 2 - ex.: Utilizador tem conta activa no AD]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[Pré-condição 3 - ex.: Licença disponível para atribuição]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[Adicionar conforme necessário]</w:t>
      </w:r>
    </w:p>
    <w:p/>
    <w:p>
      <w:pPr>
        <w:spacing w:before="240" w:after="120"/>
      </w:pPr>
      <w:r>
        <w:rPr>
          <w:b/>
          <w:color w:val="1B3A5C"/>
          <w:sz w:val="36"/>
        </w:rPr>
        <w:t>3. Materiais e acessos necessários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[Acesso a sistema/ferramenta necessário - ex.: Console de administração VPN]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[Material físico se aplicável - ex.: Token de autenticação]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[Documentação de referência - ex.: Guia de configuração VPN v2.3]</w:t>
      </w:r>
    </w:p>
    <w:p/>
    <w:p>
      <w:pPr>
        <w:spacing w:before="240" w:after="120"/>
      </w:pPr>
      <w:r>
        <w:rPr>
          <w:b/>
          <w:color w:val="1B3A5C"/>
          <w:sz w:val="36"/>
        </w:rPr>
        <w:t>4. Passos de fulfillment</w:t>
      </w:r>
    </w:p>
    <w:p>
      <w:pPr>
        <w:spacing w:after="80"/>
      </w:pPr>
      <w:r>
        <w:rPr>
          <w:color w:val="1E293B"/>
          <w:sz w:val="22"/>
        </w:rPr>
        <w:t>Execute os passos na ordem indicada. Registe a conclusão de cada passo no ticket. Não avance para o passo seguinte sem verificar o critério de validação do passo anterior.</w:t>
      </w:r>
    </w:p>
    <w:p>
      <w:pPr>
        <w:spacing w:before="240" w:after="120"/>
      </w:pPr>
      <w:r>
        <w:rPr>
          <w:b/>
          <w:color w:val="1B3A5C"/>
          <w:sz w:val="28"/>
        </w:rPr>
        <w:t>Passo 1: [Nome do passo]</w:t>
      </w:r>
    </w:p>
    <w:p>
      <w:pPr>
        <w:spacing w:after="80"/>
      </w:pPr>
      <w:r>
        <w:rPr>
          <w:color w:val="1E293B"/>
          <w:sz w:val="22"/>
        </w:rPr>
        <w:t>[Descrição detalhada do que deve ser executado neste passo. Inclua o sistema a aceder, os campos a preencher e os valores a configurar.]</w:t>
      </w:r>
    </w:p>
    <w:p>
      <w:r>
        <w:rPr>
          <w:b/>
          <w:color w:val="15803D"/>
          <w:sz w:val="20"/>
        </w:rPr>
        <w:t>Critério de validação: [Critério de validação: como saber que este passo foi concluído com sucesso - ex.: Utilizador consegue autenticar]</w:t>
      </w:r>
    </w:p>
    <w:p>
      <w:r>
        <w:rPr>
          <w:color w:val="1B3A5C"/>
          <w:sz w:val="20"/>
        </w:rPr>
        <w:t>Responsável: [Responsável: função/papel que executa este passo]</w:t>
      </w:r>
    </w:p>
    <w:p/>
    <w:p>
      <w:pPr>
        <w:spacing w:before="240" w:after="120"/>
      </w:pPr>
      <w:r>
        <w:rPr>
          <w:b/>
          <w:color w:val="1B3A5C"/>
          <w:sz w:val="28"/>
        </w:rPr>
        <w:t>Passo 2: [Nome do passo]</w:t>
      </w:r>
    </w:p>
    <w:p>
      <w:pPr>
        <w:spacing w:after="80"/>
      </w:pPr>
      <w:r>
        <w:rPr>
          <w:color w:val="1E293B"/>
          <w:sz w:val="22"/>
        </w:rPr>
        <w:t>[Descrição detalhada do passo 2...]</w:t>
      </w:r>
    </w:p>
    <w:p>
      <w:r>
        <w:rPr>
          <w:b/>
          <w:color w:val="15803D"/>
          <w:sz w:val="20"/>
        </w:rPr>
        <w:t>Critério de validação: [Critério de validação do passo 2...]</w:t>
      </w:r>
    </w:p>
    <w:p>
      <w:r>
        <w:rPr>
          <w:color w:val="1B3A5C"/>
          <w:sz w:val="20"/>
        </w:rPr>
        <w:t>Responsável: [Responsável]</w:t>
      </w:r>
    </w:p>
    <w:p/>
    <w:p>
      <w:pPr>
        <w:spacing w:before="240" w:after="120"/>
      </w:pPr>
      <w:r>
        <w:rPr>
          <w:b/>
          <w:color w:val="1B3A5C"/>
          <w:sz w:val="28"/>
        </w:rPr>
        <w:t>Passo 3: [Nome do passo]</w:t>
      </w:r>
    </w:p>
    <w:p>
      <w:pPr>
        <w:spacing w:after="80"/>
      </w:pPr>
      <w:r>
        <w:rPr>
          <w:color w:val="1E293B"/>
          <w:sz w:val="22"/>
        </w:rPr>
        <w:t>[Descrição detalhada do passo 3...]</w:t>
      </w:r>
    </w:p>
    <w:p>
      <w:r>
        <w:rPr>
          <w:b/>
          <w:color w:val="15803D"/>
          <w:sz w:val="20"/>
        </w:rPr>
        <w:t>Critério de validação: [Critério de validação do passo 3...]</w:t>
      </w:r>
    </w:p>
    <w:p>
      <w:r>
        <w:rPr>
          <w:color w:val="1B3A5C"/>
          <w:sz w:val="20"/>
        </w:rPr>
        <w:t>Responsável: [Responsável]</w:t>
      </w:r>
    </w:p>
    <w:p/>
    <w:p>
      <w:pPr>
        <w:spacing w:before="240" w:after="120"/>
      </w:pPr>
      <w:r>
        <w:rPr>
          <w:b/>
          <w:color w:val="1B3A5C"/>
          <w:sz w:val="28"/>
        </w:rPr>
        <w:t>Passo N: [Adicione quantos passos forem necessários]</w:t>
      </w:r>
    </w:p>
    <w:p>
      <w:pPr>
        <w:spacing w:after="80"/>
      </w:pPr>
      <w:r>
        <w:rPr>
          <w:color w:val="1E293B"/>
          <w:sz w:val="22"/>
        </w:rPr>
        <w:t>[...]</w:t>
      </w:r>
    </w:p>
    <w:p>
      <w:r>
        <w:rPr>
          <w:b/>
          <w:color w:val="15803D"/>
          <w:sz w:val="20"/>
        </w:rPr>
        <w:t>Critério de validação: [...]</w:t>
      </w:r>
    </w:p>
    <w:p>
      <w:r>
        <w:rPr>
          <w:color w:val="1B3A5C"/>
          <w:sz w:val="20"/>
        </w:rPr>
        <w:t>Responsável: [...]</w:t>
      </w:r>
    </w:p>
    <w:p/>
    <w:p>
      <w:pPr>
        <w:spacing w:before="240" w:after="120"/>
      </w:pPr>
      <w:r>
        <w:rPr>
          <w:b/>
          <w:color w:val="1B3A5C"/>
          <w:sz w:val="36"/>
        </w:rPr>
        <w:t>5. Verificação final</w:t>
      </w:r>
    </w:p>
    <w:p>
      <w:pPr>
        <w:spacing w:after="80"/>
      </w:pPr>
      <w:r>
        <w:rPr>
          <w:color w:val="1E293B"/>
          <w:sz w:val="22"/>
        </w:rPr>
        <w:t>Antes de marcar o fulfillment como concluído, confirme os seguintes pontos: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[Verificação 1 - ex.: Utilizador consegue ligar via VPN com sucesso]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[Verificação 2 - ex.: Acesso verificado nos sistemas correctos]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[Verificação 3 - ex.: Registo de auditoria criado]</w:t>
      </w:r>
    </w:p>
    <w:p/>
    <w:p>
      <w:pPr>
        <w:spacing w:before="240" w:after="120"/>
      </w:pPr>
      <w:r>
        <w:rPr>
          <w:b/>
          <w:color w:val="1B3A5C"/>
          <w:sz w:val="36"/>
        </w:rPr>
        <w:t>6. Comunicação ao utilizador</w:t>
      </w:r>
    </w:p>
    <w:p>
      <w:pPr>
        <w:spacing w:after="80"/>
      </w:pPr>
      <w:r>
        <w:rPr>
          <w:color w:val="1E293B"/>
          <w:sz w:val="22"/>
        </w:rPr>
        <w:t>Modelo de mensagem de conclusão (adaptar conforme necessário):</w:t>
      </w:r>
    </w:p>
    <w:p/>
    <w:p>
      <w:pPr>
        <w:ind w:left="850" w:right="850"/>
        <w:shd w:val="clear" w:fill="F0F9FF"/>
      </w:pPr>
      <w:r>
        <w:rPr>
          <w:i/>
          <w:color w:val="1E293B"/>
          <w:sz w:val="20"/>
        </w:rPr>
        <w:t>Assunto: Pedido [NÚMERO] concluído - [NOME DO SERVIÇO]</w:t>
        <w:br/>
        <w:br/>
        <w:t>Caro/a [NOME DO UTILIZADOR],</w:t>
        <w:br/>
        <w:br/>
        <w:t>O seu pedido de [NOME DO SERVIÇO] foi concluído com sucesso.</w:t>
        <w:br/>
        <w:br/>
        <w:t>[Indicar o que foi feito e como aceder ao serviço]</w:t>
        <w:br/>
        <w:br/>
        <w:t>Por favor confirme que o serviço está disponível e a funcionar correctamente respondendo a este email.</w:t>
        <w:br/>
        <w:br/>
        <w:t>Caso tenha alguma dúvida, contacte o service desk.</w:t>
        <w:br/>
        <w:br/>
        <w:t>Com os melhores cumprimentos,</w:t>
        <w:br/>
        <w:t>Service desk XPTO</w:t>
      </w:r>
    </w:p>
    <w:p/>
    <w:p>
      <w:pPr>
        <w:spacing w:before="240" w:after="120"/>
      </w:pPr>
      <w:r>
        <w:rPr>
          <w:b/>
          <w:color w:val="1B3A5C"/>
          <w:sz w:val="36"/>
        </w:rPr>
        <w:t>7. Procedimento de rollback (se aplicável)</w:t>
      </w:r>
    </w:p>
    <w:p>
      <w:pPr>
        <w:spacing w:after="80"/>
      </w:pPr>
      <w:r>
        <w:rPr>
          <w:color w:val="1E293B"/>
          <w:sz w:val="22"/>
        </w:rPr>
        <w:t>Se o fulfillment falhar ou o utilizador reportar problemas, execute os seguintes passos para reverter as alterações: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[Passo de rollback 1 - ex.: Revogar acesso VPN configurado]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[Passo de rollback 2 - ex.: Notificar utilizador e service desk]</w:t>
      </w:r>
    </w:p>
    <w:p>
      <w:pPr>
        <w:spacing w:after="40"/>
        <w:ind w:left="454"/>
      </w:pPr>
      <w:r>
        <w:rPr>
          <w:color w:val="1E293B"/>
          <w:sz w:val="22"/>
        </w:rPr>
        <w:t xml:space="preserve">  •  [Passo de rollback 3 - ex.: Reabrir pedido com estado "Falhou"]</w:t>
      </w:r>
    </w:p>
    <w:p/>
    <w:p>
      <w:pPr>
        <w:spacing w:before="240" w:after="120"/>
      </w:pPr>
      <w:r>
        <w:rPr>
          <w:b/>
          <w:color w:val="1B3A5C"/>
          <w:sz w:val="36"/>
        </w:rPr>
        <w:t>8. Histórico de revisões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80"/>
        <w:gridCol w:w="2280"/>
        <w:gridCol w:w="2280"/>
        <w:gridCol w:w="2280"/>
      </w:tblGrid>
      <w:tr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b/>
                <w:color w:val="FFFFFF"/>
                <w:sz w:val="20"/>
              </w:rPr>
              <w:t>Descrição da alteração</w:t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1.0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2026-03-25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[Autor]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  <w:t>Versão inicial</w:t>
            </w:r>
          </w:p>
        </w:tc>
      </w:tr>
      <w:tr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color w:val="1E293B"/>
                <w:sz w:val="20"/>
              </w:rPr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color w:val="1E293B"/>
                <w:sz w:val="20"/>
              </w:rPr>
            </w:r>
          </w:p>
        </w:tc>
      </w:tr>
    </w:tbl>
    <w:p/>
    <w:p>
      <w:pPr>
        <w:ind w:left="567"/>
        <w:shd w:val="clear" w:fill="FEF9C3"/>
      </w:pPr>
      <w:r>
        <w:rPr>
          <w:color w:val="713F12"/>
          <w:sz w:val="20"/>
        </w:rPr>
        <w:t>XPTO  --  Este modelo de fulfillment é um template da Better Skills. Crie um ficheiro separado para cada tipo de pedido de serviço do seu catálogo. Mantenha os modelos actualizados e versionados. Para suporte: comercial@better-skills.com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