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0" w:after="240"/>
        <w:jc w:val="center"/>
      </w:pPr>
      <w:r>
        <w:rPr>
          <w:rFonts w:ascii="Calibri" w:hAnsi="Calibri"/>
          <w:b/>
          <w:color w:val="1B3A5C"/>
          <w:sz w:val="48"/>
        </w:rPr>
        <w:t>Change enablement</w:t>
      </w:r>
    </w:p>
    <w:p>
      <w:pPr>
        <w:spacing w:after="160"/>
        <w:jc w:val="center"/>
      </w:pPr>
      <w:r>
        <w:rPr>
          <w:rFonts w:ascii="Calibri" w:hAnsi="Calibri"/>
          <w:color w:val="4472C4"/>
          <w:sz w:val="26"/>
        </w:rPr>
        <w:t>Processo end-to-end de gestão de mudanças</w:t>
      </w:r>
    </w:p>
    <w:p>
      <w:pPr>
        <w:jc w:val="center"/>
      </w:pPr>
      <w:r>
        <w:rPr>
          <w:rFonts w:ascii="Calibri" w:hAnsi="Calibri"/>
          <w:color w:val="595959"/>
          <w:sz w:val="20"/>
        </w:rPr>
        <w:t>Versão 1.0  |  Better Skills  |  2026</w:t>
      </w:r>
    </w:p>
    <w:p>
      <w:r>
        <w:br w:type="page"/>
      </w:r>
    </w:p>
    <w:p>
      <w:pPr>
        <w:pStyle w:val="Heading1"/>
      </w:pPr>
      <w:r>
        <w:t>Controlo de versões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Versão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Data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Autor</w:t>
            </w:r>
          </w:p>
        </w:tc>
        <w:tc>
          <w:tcPr>
            <w:tcW w:type="dxa" w:w="45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Alterações</w:t>
            </w:r>
          </w:p>
        </w:tc>
      </w:tr>
      <w:tr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1.0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2026-03-25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João Rodrigues</w:t>
            </w:r>
          </w:p>
        </w:tc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Versão inicial</w:t>
            </w:r>
          </w:p>
        </w:tc>
      </w:tr>
      <w:tr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1"/>
      </w:pPr>
      <w:r>
        <w:t>1. Objectivo e âmbito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O processo de change enablement tem como objectivo maximizar o número de mudanças bem-sucedidas, garantindo que os riscos são avaliados adequadamente, que as mudanças são devidamente autorizadas e que o calendário de mudanças é gerido de forma eficaz.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Este documento descreve o processo end-to-end aplicável na organização [XPTO].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Campo</w:t>
            </w:r>
          </w:p>
        </w:tc>
        <w:tc>
          <w:tcPr>
            <w:tcW w:type="dxa" w:w="6803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Detalhe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Objectivo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Maximizar mudanças bem-sucedidas com avaliação adequada de riscos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Trigger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Submissão de RFC por qualquer área da organização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Âmbito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Desde a submissão do RFC até à revisão pós-implementação. Mudanças standard, normais e de emergência.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Fora do âmbito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Execução técnica (responsabilidade da equipa técnica). Gestão de releases e deployments.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Output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autorizada, implementada e revista. RFC encerrado. Calendário actualizado.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Dono do processo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[XPTO] Change manager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Última revisão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2026-03-25</w:t>
            </w:r>
          </w:p>
        </w:tc>
      </w:tr>
    </w:tbl>
    <w:p/>
    <w:p>
      <w:pPr>
        <w:pStyle w:val="Heading1"/>
      </w:pPr>
      <w:r>
        <w:t>2. Tipos de mudança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O ITIL distingue três tipos de mudança, cada um com um fluxo de autorização calibrado em função do risco e urgência.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Tipo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Risco</w:t>
            </w:r>
          </w:p>
        </w:tc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Fluxo de autorização</w:t>
            </w:r>
          </w:p>
        </w:tc>
        <w:tc>
          <w:tcPr>
            <w:tcW w:type="dxa" w:w="34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Exemplos</w:t>
            </w:r>
          </w:p>
        </w:tc>
      </w:tr>
      <w:tr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Standard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Baixo (pré-definido)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Pré-autorizada. Executa conforme modelo aprovado sem passar pelo CAB.</w:t>
            </w:r>
          </w:p>
        </w:tc>
        <w:tc>
          <w:tcPr>
            <w:tcW w:type="dxa" w:w="34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Reset de password, instalação de software aprovado, criação de conta de utilizador</w:t>
            </w:r>
          </w:p>
        </w:tc>
      </w:tr>
      <w:tr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Normal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Variável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-&gt; Avaliação de impacto -&gt; CAB -&gt; Implementação -&gt; PIR</w:t>
            </w:r>
          </w:p>
        </w:tc>
        <w:tc>
          <w:tcPr>
            <w:tcW w:type="dxa" w:w="34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Upgrade de SO, alteração de firewall, migração de base de dados</w:t>
            </w:r>
          </w:p>
        </w:tc>
      </w:tr>
      <w:tr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Emergência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Elevado (urgente)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-&gt; ECAB (autorização acelerada) -&gt; Implementação -&gt; Documentação post-facto</w:t>
            </w:r>
          </w:p>
        </w:tc>
        <w:tc>
          <w:tcPr>
            <w:tcW w:type="dxa" w:w="34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Patch de segurança crítico, rollback de deploy em produção</w:t>
            </w:r>
          </w:p>
        </w:tc>
      </w:tr>
    </w:tbl>
    <w:p/>
    <w:p>
      <w:pPr>
        <w:spacing w:after="120"/>
        <w:jc w:val="both"/>
      </w:pPr>
      <w:r>
        <w:rPr>
          <w:rFonts w:ascii="Calibri" w:hAnsi="Calibri"/>
          <w:b/>
          <w:i w:val="0"/>
          <w:sz w:val="20"/>
        </w:rPr>
        <w:t>Guia de classificação de mudanças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Pergunta</w:t>
            </w:r>
          </w:p>
        </w:tc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Sim</w:t>
            </w:r>
          </w:p>
        </w:tc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Não</w:t>
            </w:r>
          </w:p>
        </w:tc>
      </w:tr>
      <w:tr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Existe modelo standard aprovado para esta mudança?</w:t>
            </w:r>
          </w:p>
        </w:tc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Classificar como standard</w:t>
            </w:r>
          </w:p>
        </w:tc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Continuar avaliação</w:t>
            </w:r>
          </w:p>
        </w:tc>
      </w:tr>
      <w:tr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 mudança é urgente e causa impacto crítico em producao?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Classificar como emergência (ECAB)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Classificar como normal</w:t>
            </w:r>
          </w:p>
        </w:tc>
      </w:tr>
    </w:tbl>
    <w:p/>
    <w:p>
      <w:pPr>
        <w:pStyle w:val="Heading1"/>
      </w:pPr>
      <w:r>
        <w:t>3. Fluxo do processo (BPMN)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O diagrama abaixo descreve o fluxo de change enablement com 4 swimlanes: Iniciador, Change manager, CAB/ECAB e Equipa técnica.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Swimlane</w:t>
            </w:r>
          </w:p>
        </w:tc>
        <w:tc>
          <w:tcPr>
            <w:tcW w:type="dxa" w:w="7370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Actividades principais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Iniciador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Submete RFC; acompanha estado; participa na PIR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Regista e classifica; avalia impacto e risco; comunica e agenda; verifica resultado; conduz PIR; encerra RFC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 / ECAB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Revê RFCs em reunião periódica; autoriza ou rejeita mudanças normais; ECAB autoriza emergências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Equipa técnica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Planeia implementação; executa; testa e valida; activa rollback se necessário</w:t>
            </w:r>
          </w:p>
        </w:tc>
      </w:tr>
    </w:tbl>
    <w:p/>
    <w:p>
      <w:pPr>
        <w:spacing w:after="120"/>
        <w:jc w:val="both"/>
      </w:pPr>
      <w:r>
        <w:rPr>
          <w:rFonts w:ascii="Calibri" w:hAnsi="Calibri"/>
          <w:b w:val="0"/>
          <w:i/>
          <w:sz w:val="20"/>
        </w:rPr>
        <w:t>Nota: o diagrama BPMN completo em formato SVG está disponível na página web do processo.</w:t>
      </w:r>
    </w:p>
    <w:p>
      <w:pPr>
        <w:pStyle w:val="Heading1"/>
      </w:pPr>
      <w:r>
        <w:t>4. Actividades macro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45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#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Actividade</w:t>
            </w:r>
          </w:p>
        </w:tc>
        <w:tc>
          <w:tcPr>
            <w:tcW w:type="dxa" w:w="198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Responsável</w:t>
            </w:r>
          </w:p>
        </w:tc>
        <w:tc>
          <w:tcPr>
            <w:tcW w:type="dxa" w:w="198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Input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Output</w:t>
            </w:r>
          </w:p>
        </w:tc>
      </w:tr>
      <w:tr>
        <w:tc>
          <w:tcPr>
            <w:tcW w:type="dxa" w:w="45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Submissão do RFC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Iniciador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Necessidade de alteração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submetido</w:t>
            </w:r>
          </w:p>
        </w:tc>
      </w:tr>
      <w:tr>
        <w:tc>
          <w:tcPr>
            <w:tcW w:type="dxa" w:w="45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Registo e classificação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submetido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classificado (standard/normal/emergência)</w:t>
            </w:r>
          </w:p>
        </w:tc>
      </w:tr>
      <w:tr>
        <w:tc>
          <w:tcPr>
            <w:tcW w:type="dxa" w:w="45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3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Avaliação de impacto e risco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classificado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Análise de impacto e risco documentada</w:t>
            </w:r>
          </w:p>
        </w:tc>
      </w:tr>
      <w:tr>
        <w:tc>
          <w:tcPr>
            <w:tcW w:type="dxa" w:w="45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4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Autorização (CAB/ECAB)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 ou ECAB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Análise de impacto e risco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autorizada ou rejeitada</w:t>
            </w:r>
          </w:p>
        </w:tc>
      </w:tr>
      <w:tr>
        <w:tc>
          <w:tcPr>
            <w:tcW w:type="dxa" w:w="45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5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Planeamento da implementação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Equipa técnica / Change manager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autorizada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Plano de implementação e rollback</w:t>
            </w:r>
          </w:p>
        </w:tc>
      </w:tr>
      <w:tr>
        <w:tc>
          <w:tcPr>
            <w:tcW w:type="dxa" w:w="45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6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Comunicação e agendamento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Plano aprovado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Calendário actualizado, stakeholders notificados</w:t>
            </w:r>
          </w:p>
        </w:tc>
      </w:tr>
      <w:tr>
        <w:tc>
          <w:tcPr>
            <w:tcW w:type="dxa" w:w="45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Implementação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Equipa técnica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Plano de implementação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implementada</w:t>
            </w:r>
          </w:p>
        </w:tc>
      </w:tr>
      <w:tr>
        <w:tc>
          <w:tcPr>
            <w:tcW w:type="dxa" w:w="45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Teste e validação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Equipa técnica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implementada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Resultado dos testes documentado</w:t>
            </w:r>
          </w:p>
        </w:tc>
      </w:tr>
      <w:tr>
        <w:tc>
          <w:tcPr>
            <w:tcW w:type="dxa" w:w="45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9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Revisão pós-implementação (PIR)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Resultado da implementação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Relatório de PIR, lições aprendidas</w:t>
            </w:r>
          </w:p>
        </w:tc>
      </w:tr>
      <w:tr>
        <w:tc>
          <w:tcPr>
            <w:tcW w:type="dxa" w:w="45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10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Encerramento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PIR concluída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encerrado, calendário actualizado</w:t>
            </w:r>
          </w:p>
        </w:tc>
      </w:tr>
    </w:tbl>
    <w:p/>
    <w:p>
      <w:pPr>
        <w:pStyle w:val="Heading1"/>
      </w:pPr>
      <w:r>
        <w:t>5. Modelo RACI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R=Responsible (executa), A=Accountable (responde), C=Consulted (é consultado), I=Informed (é informado).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255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Actividade</w:t>
            </w:r>
          </w:p>
        </w:tc>
        <w:tc>
          <w:tcPr>
            <w:tcW w:type="dxa" w:w="113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Iniciador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Change manager</w:t>
            </w:r>
          </w:p>
        </w:tc>
        <w:tc>
          <w:tcPr>
            <w:tcW w:type="dxa" w:w="850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CAB</w:t>
            </w:r>
          </w:p>
        </w:tc>
        <w:tc>
          <w:tcPr>
            <w:tcW w:type="dxa" w:w="141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Eq. técnica</w:t>
            </w:r>
          </w:p>
        </w:tc>
        <w:tc>
          <w:tcPr>
            <w:tcW w:type="dxa" w:w="141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Service owner</w:t>
            </w:r>
          </w:p>
        </w:tc>
      </w:tr>
      <w:tr>
        <w:tc>
          <w:tcPr>
            <w:tcW w:type="dxa" w:w="255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Submissão RFC</w:t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85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</w:tr>
      <w:tr>
        <w:tc>
          <w:tcPr>
            <w:tcW w:type="dxa" w:w="255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Registo e classificação</w:t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85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Avaliação impacto e risco</w:t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85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Autorização</w:t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</w:t>
            </w:r>
          </w:p>
        </w:tc>
        <w:tc>
          <w:tcPr>
            <w:tcW w:type="dxa" w:w="85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</w:tr>
      <w:tr>
        <w:tc>
          <w:tcPr>
            <w:tcW w:type="dxa" w:w="255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Planeamento</w:t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</w:t>
            </w:r>
          </w:p>
        </w:tc>
        <w:tc>
          <w:tcPr>
            <w:tcW w:type="dxa" w:w="85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Comunicação e agendamento</w:t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85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Implementação</w:t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</w:t>
            </w:r>
          </w:p>
        </w:tc>
        <w:tc>
          <w:tcPr>
            <w:tcW w:type="dxa" w:w="85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Teste e validação</w:t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</w:t>
            </w:r>
          </w:p>
        </w:tc>
        <w:tc>
          <w:tcPr>
            <w:tcW w:type="dxa" w:w="85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</w:tr>
      <w:tr>
        <w:tc>
          <w:tcPr>
            <w:tcW w:type="dxa" w:w="255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Revisão pós-implementação</w:t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85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  <w:tr>
        <w:tc>
          <w:tcPr>
            <w:tcW w:type="dxa" w:w="255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Encerramento</w:t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</w:t>
            </w:r>
          </w:p>
        </w:tc>
        <w:tc>
          <w:tcPr>
            <w:tcW w:type="dxa" w:w="85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</w:t>
            </w:r>
          </w:p>
        </w:tc>
      </w:tr>
    </w:tbl>
    <w:p/>
    <w:p>
      <w:pPr>
        <w:pStyle w:val="Heading1"/>
      </w:pPr>
      <w:r>
        <w:t>6. Métricas e KPIs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Métrica</w:t>
            </w:r>
          </w:p>
        </w:tc>
        <w:tc>
          <w:tcPr>
            <w:tcW w:type="dxa" w:w="51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Descrição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Target sugerido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Taxa de sucesso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Percentagem de mudanças implementadas sem incidentes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&gt; 95%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Mudanças de emergência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Percentagem de mudanças classificadas como emergência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&lt; 10%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Lead time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Tempo médio desde submissão do RFC até implementação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&lt; 5 dias (normal) / &lt; 2h (emergência)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Mudanças falhadas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Percentagem que necessitou de rollback ou causou incidentes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&lt; 5%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Backlog de RFCs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Número de RFCs pendentes de autorização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Tendência decrescente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Cumprimento do calendário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Percentagem implementadas na data planeada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&gt; 90%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Mudanças não autorizadas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Mudanças detectadas no ambiente sem RFC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0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Disponibilidade do CAB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Percentagem de reuniões CAB realizadas conforme planeado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&gt; 95%</w:t>
            </w:r>
          </w:p>
        </w:tc>
      </w:tr>
    </w:tbl>
    <w:p/>
    <w:p>
      <w:pPr>
        <w:pStyle w:val="Heading1"/>
      </w:pPr>
      <w:r>
        <w:t>7. Interfaces com outros processos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Processo</w:t>
            </w:r>
          </w:p>
        </w:tc>
        <w:tc>
          <w:tcPr>
            <w:tcW w:type="dxa" w:w="141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Direcção</w:t>
            </w:r>
          </w:p>
        </w:tc>
        <w:tc>
          <w:tcPr>
            <w:tcW w:type="dxa" w:w="56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Descrição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Gestão de incidentes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Entrada</w:t>
            </w:r>
          </w:p>
        </w:tc>
        <w:tc>
          <w:tcPr>
            <w:tcW w:type="dxa" w:w="56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Incidentes causados por mudanças falhadas; emergências geram RFCs urgentes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Gestão de problemas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Entrada</w:t>
            </w:r>
          </w:p>
        </w:tc>
        <w:tc>
          <w:tcPr>
            <w:tcW w:type="dxa" w:w="56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Soluções permanentes requerem RFC para implementação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Gestão de releases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Saida</w:t>
            </w:r>
          </w:p>
        </w:tc>
        <w:tc>
          <w:tcPr>
            <w:tcW w:type="dxa" w:w="56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Mudanças autorizadas alimentam o planeamento de releases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CMDB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Entrada</w:t>
            </w:r>
          </w:p>
        </w:tc>
        <w:tc>
          <w:tcPr>
            <w:tcW w:type="dxa" w:w="56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Avaliação de impacto consulta relações entre CIs; CMDB é actualizada após mudança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Calendário de mudanças</w:t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Saida</w:t>
            </w:r>
          </w:p>
        </w:tc>
        <w:tc>
          <w:tcPr>
            <w:tcW w:type="dxa" w:w="56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Todas as mudanças agendadas ficam visíveis no calendário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Service request management</w:t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Entrada</w:t>
            </w:r>
          </w:p>
        </w:tc>
        <w:tc>
          <w:tcPr>
            <w:tcW w:type="dxa" w:w="56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Pedidos de serviço que requerem mudanças standard são escalados</w:t>
            </w:r>
          </w:p>
        </w:tc>
      </w:tr>
    </w:tbl>
    <w:p/>
    <w:p>
      <w:pPr>
        <w:pStyle w:val="Heading1"/>
      </w:pPr>
      <w:r>
        <w:t>8. Ciclo de vida do RFC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Estados possíveis de um RFC ao longo do processo: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Estado</w:t>
            </w:r>
          </w:p>
        </w:tc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Descrição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Transição para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Submetido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criado e aguarda análise do change manager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avaliação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avaliação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 analisa impacto e risco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Autorizado / Rejeitado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Autorizado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CAB/ECAB aprovou a mudança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Agendado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Agendado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Janela de implementação definida no calendário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implementação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implementação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A equipa técnica está a executar a mudança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Concluído / Rollback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Concluído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implementada e validada com sucesso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revisão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revisão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PIR em curso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Encerrado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Encerrado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finalizado com toda a documentação completa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Rejeitado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 não autorizou a mudança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Cancelado</w:t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 retirado antes da implementação</w:t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-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Rollback</w:t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Mudança revertida após falha na implementação</w:t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 avaliação</w:t>
            </w:r>
          </w:p>
        </w:tc>
      </w:tr>
    </w:tbl>
    <w:p/>
    <w:p>
      <w:pPr>
        <w:pStyle w:val="Heading1"/>
      </w:pPr>
      <w:r>
        <w:t>9.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Papel</w:t>
            </w:r>
          </w:p>
        </w:tc>
        <w:tc>
          <w:tcPr>
            <w:tcW w:type="dxa" w:w="7370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Responsabilidades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Iniciador da mudança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Submete o RFC com informação completa; acompanha o estado; participa na PIR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Classifica RFCs; avalia impacto e risco; agenda reuniões CAB; comunica stakeholders; gere calendário; conduz PIR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Reúne periodicamente para avaliar RFCs normais; toma decisões de autorização documentadas em acta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ECAB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Subconjunto do CAB disponível para autorizar mudanças de emergência fora do ciclo regular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Equipa técnica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Planeia e executa a mudança; testa e valida; activa rollback se necessário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Service owner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Valida impacto no negócio; aprova janelas de implementação que afectam os seus serviços</w:t>
            </w:r>
          </w:p>
        </w:tc>
      </w:tr>
    </w:tbl>
    <w:p/>
    <w:p>
      <w:pPr>
        <w:pStyle w:val="Heading1"/>
      </w:pPr>
      <w:r>
        <w:t>10. Políticas e controlos</w:t>
      </w:r>
    </w:p>
    <w:p>
      <w:pPr>
        <w:pStyle w:val="ListBullet"/>
      </w:pPr>
      <w:r>
        <w:rPr>
          <w:rFonts w:ascii="Calibri" w:hAnsi="Calibri"/>
          <w:sz w:val="20"/>
        </w:rPr>
        <w:t>Todas as mudanças ao ambiente de producao requerem um RFC registado na ferramenta ITSM.</w:t>
      </w:r>
    </w:p>
    <w:p>
      <w:pPr>
        <w:pStyle w:val="ListBullet"/>
      </w:pPr>
      <w:r>
        <w:rPr>
          <w:rFonts w:ascii="Calibri" w:hAnsi="Calibri"/>
          <w:sz w:val="20"/>
        </w:rPr>
        <w:t>Mudanças sem RFC são consideradas não autorizadas e sujeitas a processo disciplinar.</w:t>
      </w:r>
    </w:p>
    <w:p>
      <w:pPr>
        <w:pStyle w:val="ListBullet"/>
      </w:pPr>
      <w:r>
        <w:rPr>
          <w:rFonts w:ascii="Calibri" w:hAnsi="Calibri"/>
          <w:sz w:val="20"/>
        </w:rPr>
        <w:t>O change manager tem autoridade para rejeitar RFCs com informação insuficiente.</w:t>
      </w:r>
    </w:p>
    <w:p>
      <w:pPr>
        <w:pStyle w:val="ListBullet"/>
      </w:pPr>
      <w:r>
        <w:rPr>
          <w:rFonts w:ascii="Calibri" w:hAnsi="Calibri"/>
          <w:sz w:val="20"/>
        </w:rPr>
        <w:t>O CAB reúne pelo menos semanalmente; a agenda deve ser distribuída com 48h de antecedência.</w:t>
      </w:r>
    </w:p>
    <w:p>
      <w:pPr>
        <w:pStyle w:val="ListBullet"/>
      </w:pPr>
      <w:r>
        <w:rPr>
          <w:rFonts w:ascii="Calibri" w:hAnsi="Calibri"/>
          <w:sz w:val="20"/>
        </w:rPr>
        <w:t>O ECAB deve poder ser convocado em menos de 2 horas para mudanças de emergência.</w:t>
      </w:r>
    </w:p>
    <w:p>
      <w:pPr>
        <w:pStyle w:val="ListBullet"/>
      </w:pPr>
      <w:r>
        <w:rPr>
          <w:rFonts w:ascii="Calibri" w:hAnsi="Calibri"/>
          <w:sz w:val="20"/>
        </w:rPr>
        <w:t>Toda a mudança de emergência deve ter documentação completa no prazo máximo de 24h após implementação.</w:t>
      </w:r>
    </w:p>
    <w:p>
      <w:pPr>
        <w:pStyle w:val="ListBullet"/>
      </w:pPr>
      <w:r>
        <w:rPr>
          <w:rFonts w:ascii="Calibri" w:hAnsi="Calibri"/>
          <w:sz w:val="20"/>
        </w:rPr>
        <w:t>O plano de rollback é obrigatório para mudanças normais e de emergência.</w:t>
      </w:r>
    </w:p>
    <w:p>
      <w:pPr>
        <w:pStyle w:val="ListBullet"/>
      </w:pPr>
      <w:r>
        <w:rPr>
          <w:rFonts w:ascii="Calibri" w:hAnsi="Calibri"/>
          <w:sz w:val="20"/>
        </w:rPr>
        <w:t>A CMDB deve ser actualizada no prazo máximo de 24h após qualquer mudança.</w:t>
      </w:r>
    </w:p>
    <w:p>
      <w:pPr>
        <w:pStyle w:val="ListBullet"/>
      </w:pPr>
      <w:r>
        <w:rPr>
          <w:rFonts w:ascii="Calibri" w:hAnsi="Calibri"/>
          <w:sz w:val="20"/>
        </w:rPr>
        <w:t>A organização [XPTO] deve rever os modelos standard pelo menos anualmente.</w:t>
      </w:r>
    </w:p>
    <w:p/>
    <w:p>
      <w:pPr>
        <w:pStyle w:val="Heading1"/>
      </w:pPr>
      <w:r>
        <w:t>11. Glossário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Termo</w:t>
            </w:r>
          </w:p>
        </w:tc>
        <w:tc>
          <w:tcPr>
            <w:tcW w:type="dxa" w:w="7370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Definição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RFC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Request for Change - pedido formal de mudança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CAB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Advisory Board - grupo que avalia e autoriza mudanças normais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ECAB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Emergency CAB - subconjunto do CAB para autorizar mudanças de emergência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PIR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Post-Implementation Review - revisão pós-implementação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CMDB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Configuration Management Database - base de dados de configuração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CI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Configuration Item - item de configuração gerido na CMDB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Rollback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Reversão da mudança para o estado anterior em caso de falha</w:t>
            </w:r>
          </w:p>
        </w:tc>
      </w:tr>
      <w:tr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Forward Schedule</w:t>
            </w:r>
          </w:p>
        </w:tc>
        <w:tc>
          <w:tcPr>
            <w:tcW w:type="dxa" w:w="737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Calendário prospectivo de mudanças aprovadas e planeadas</w:t>
            </w:r>
          </w:p>
        </w:tc>
      </w:tr>
      <w:tr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Janela de mudança</w:t>
            </w:r>
          </w:p>
        </w:tc>
        <w:tc>
          <w:tcPr>
            <w:tcW w:type="dxa" w:w="737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Período de tempo aprovado para implementação com impacto mínimo</w:t>
            </w:r>
          </w:p>
        </w:tc>
      </w:tr>
    </w:tbl>
    <w:sectPr w:rsidR="00FC693F" w:rsidRPr="0006063C" w:rsidSect="00034616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