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spacing w:before="0" w:after="120" w:line="644" w:lineRule="exact"/>
        <w:jc w:val="center"/>
      </w:pPr>
      <w:r>
        <w:rPr>
          <w:rFonts w:ascii="Calibri" w:hAnsi="Calibri"/>
          <w:b/>
          <w:i w:val="0"/>
          <w:color w:val="1B3A5C"/>
          <w:sz w:val="56"/>
        </w:rPr>
        <w:t>Better Skills</w:t>
      </w:r>
    </w:p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6B7280"/>
          <w:sz w:val="22"/>
        </w:rPr>
        <w:t>better-skills.com</w:t>
      </w:r>
    </w:p>
    <w:p/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9CA3AF"/>
          <w:sz w:val="20"/>
        </w:rPr>
        <w:t>MANUAL DE PROCESSO</w:t>
      </w:r>
    </w:p>
    <w:p>
      <w:pPr>
        <w:spacing w:before="0" w:after="120" w:line="552" w:lineRule="exact"/>
        <w:jc w:val="center"/>
      </w:pPr>
      <w:r>
        <w:rPr>
          <w:rFonts w:ascii="Calibri" w:hAnsi="Calibri"/>
          <w:b/>
          <w:i w:val="0"/>
          <w:color w:val="1B3A5C"/>
          <w:sz w:val="48"/>
        </w:rPr>
        <w:t>Gestao de infra-estrutura e plataformas</w:t>
      </w:r>
    </w:p>
    <w:p>
      <w:pPr>
        <w:spacing w:before="0" w:after="120" w:line="276" w:lineRule="exact"/>
        <w:jc w:val="center"/>
      </w:pPr>
      <w:r>
        <w:rPr>
          <w:rFonts w:ascii="Calibri" w:hAnsi="Calibri"/>
          <w:b w:val="0"/>
          <w:i/>
          <w:color w:val="6B7280"/>
          <w:sz w:val="24"/>
        </w:rPr>
        <w:t>Processo end-to-end alinhado com ITIL</w:t>
      </w:r>
    </w:p>
    <w:p/>
    <w:p>
      <w:pPr>
        <w:jc w:val="center"/>
      </w:pPr>
      <w:r>
        <w:rPr>
          <w:color w:val="6B7280"/>
          <w:sz w:val="22"/>
        </w:rPr>
        <w:t xml:space="preserve">Preparado para: </w:t>
      </w:r>
      <w:r>
        <w:rPr>
          <w:b/>
          <w:sz w:val="22"/>
          <w:highlight w:val="yellow"/>
        </w:rPr>
        <w:t>XPTO</w:t>
      </w:r>
    </w:p>
    <w:p/>
    <w:p/>
    <w:p/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Versao 1.0  |  Abril 2026</w:t>
      </w:r>
    </w:p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1.0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Abril 2026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Better Skills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Versao inicial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Actividades detalhadas</w:t>
      </w:r>
    </w:p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1 Estrategia de infra-estrutura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Infrastructure manager / CTO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Definir a estrategia de infra-estrutura alinhada com a arquitectura e a estrategia de TI.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abordagem: on-prem, cloud, hibrido.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standards tecnologicos.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politicas de automacao (IaC).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Alinhar com orcamento e roadmap.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Estrategia de infra-estrutura aprovada.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2 Planeamento de capacidade e desempenho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Infra manager / Capacity mgr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Planear a capacidade da infra-estrutura para suportar a procura actual e futura.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Dimensionar recursos para servicos actuais.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Prever crescimento e planear expansao.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Optimizar utilizacao (right-sizing).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Coordenar com capacity management.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Plano de capacidade de infra-estrutura alinhado.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3 Governance de cloud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Infrastructure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Governar a utilizacao de servicos cloud: custos, seguranca, conformidade e standards.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Definir politicas de utilizacao cloud.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Implementar guardrails (custo, seguranca, conformidade).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Monitorizar custos e optimizar (FinOps).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Auditar conformidade periodicamente.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Cloud governada com politicas implementadas.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4 Gestao de IaC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DevOps / Infra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Gerir a infra-estrutura como codigo para garantir consistencia, repetibilidade e automacao.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Manter templates IaC (Terraform, Ansible, Puppet).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Versionar configuracoes em repositorio (Git).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Testar alteracoes em ambiente de staging.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Automatizar provisionamento e configuracao.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Infra-estrutura gerida como codigo.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5 Monitorizacao e operacoes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Equipa operacoes / Monitoring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Monitorizar e operar a infra-estrutura garantindo disponibilidade e desempenho.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Monitorizar servidores, rede, storage, cloud.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Responder a alertas e eventos.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Executar operacoes de rotina (backups, patches).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Escalar incidentes de infra-estrutura.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Infra-estrutura monitorizada e operacional.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6 Gestao de patches e actualizacoes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Infra manager / Seguranca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Gerir patches de seguranca e actualizacoes de sistema de forma controlada.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patches disponiveis por criticidade.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Testar patches em ambiente de staging.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Planear janela de aplicacao.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Aplicar patches e verificar estabilidade.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Patches aplicados conforme SLA de seguranca.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7 Decomissao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Infra manager / ITAM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Retirar infra-estrutura obsoleta de forma controlada e segura.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Identificar infra para decomissao.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Migrar cargas de trabalho.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Apagar dados conforme RGPD.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Reciclar ou eliminar hardware.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Infra-estrutura decomissionada.</w:t>
            </w:r>
          </w:p>
        </w:tc>
      </w:tr>
    </w:tbl>
    <w:p/>
    <w:tbl>
      <w:tblPr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Actividade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8 Revisao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Responsável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Infrastructure manager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Descrição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Rever a estrategia e operacoes de infra-estrutura periodicamente.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Passos chave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80" w:after="4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Rever metricas de desempenho e custo.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Avaliar novas tecnologias.</w:t>
            </w:r>
          </w:p>
          <w:p>
            <w:pPr>
              <w:spacing w:before="20" w:after="20" w:line="24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• Ajustar estrategia conforme necessidades.</w:t>
            </w:r>
          </w:p>
        </w:tc>
      </w:tr>
      <w:tr>
        <w:tc>
          <w:tcPr>
            <w:tcW w:type="dxa" w:w="2154"/>
            <w:shd w:val="clear" w:color="auto" w:fill="EEF2F7"/>
          </w:tcPr>
          <w:p>
            <w:pPr>
              <w:spacing w:before="100" w:after="100"/>
              <w:jc w:val="left"/>
            </w:pPr>
            <w:r>
              <w:rPr>
                <w:rFonts w:ascii="Calibri" w:hAnsi="Calibri"/>
                <w:b/>
                <w:color w:val="1B3A5C"/>
                <w:sz w:val="20"/>
              </w:rPr>
              <w:t>Critério de saída</w:t>
            </w:r>
          </w:p>
        </w:tc>
        <w:tc>
          <w:tcPr>
            <w:tcW w:type="dxa" w:w="7483"/>
            <w:shd w:val="clear" w:color="auto" w:fill="FFFFFF"/>
          </w:tcPr>
          <w:p>
            <w:pPr>
              <w:spacing w:before="100" w:after="100" w:line="230" w:lineRule="exact"/>
              <w:jc w:val="both"/>
            </w:pPr>
            <w:r>
              <w:rPr>
                <w:rFonts w:ascii="Calibri" w:hAnsi="Calibri"/>
                <w:color w:val="000000"/>
                <w:sz w:val="20"/>
              </w:rPr>
              <w:t>Estrategia de infra-estrutura revista.</w:t>
            </w:r>
          </w:p>
        </w:tc>
      </w:tr>
    </w:tbl>
    <w:p/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Matriz RACI</w:t>
      </w:r>
    </w:p>
    <w:p>
      <w:pPr>
        <w:spacing w:before="0" w:after="120" w:line="207" w:lineRule="exact"/>
        <w:jc w:val="both"/>
      </w:pPr>
      <w:r>
        <w:rPr>
          <w:rFonts w:ascii="Calibri" w:hAnsi="Calibri"/>
          <w:b w:val="0"/>
          <w:i w:val="0"/>
          <w:color w:val="6B7280"/>
          <w:sz w:val="18"/>
        </w:rPr>
        <w:t>R = Responsible | A = Accountable | C = Consulted | I = Informed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1568"/>
        <w:gridCol w:w="1568"/>
        <w:gridCol w:w="1568"/>
        <w:gridCol w:w="1568"/>
        <w:gridCol w:w="1568"/>
        <w:gridCol w:w="1568"/>
      </w:tblGrid>
      <w:tr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Infra manager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DevOps/Ops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Seguranca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Capacity mgr</w:t>
            </w:r>
          </w:p>
        </w:tc>
        <w:tc>
          <w:tcPr>
            <w:tcW w:type="dxa" w:w="1568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Service owner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Estrategia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Capacidade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Cloud governance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IaC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Monitorizacao</w:t>
            </w:r>
          </w:p>
        </w:tc>
        <w:tc>
          <w:tcPr>
            <w:tcW w:type="dxa" w:w="1568"/>
            <w:shd w:val="clear" w:color="auto" w:fill="FEE2E2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A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Patches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Decomissao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  <w:tc>
          <w:tcPr>
            <w:tcW w:type="dxa" w:w="1568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-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</w:tr>
      <w:tr>
        <w:tc>
          <w:tcPr>
            <w:tcW w:type="dxa" w:w="1568"/>
          </w:tcPr>
          <w:p>
            <w:pPr>
              <w:spacing w:before="80" w:after="80" w:line="230" w:lineRule="exact"/>
              <w:jc w:val="left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Revisao</w:t>
            </w:r>
          </w:p>
        </w:tc>
        <w:tc>
          <w:tcPr>
            <w:tcW w:type="dxa" w:w="1568"/>
            <w:shd w:val="clear" w:color="auto" w:fill="DBEAFE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R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EF9C3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C</w:t>
            </w:r>
          </w:p>
        </w:tc>
        <w:tc>
          <w:tcPr>
            <w:tcW w:type="dxa" w:w="1568"/>
            <w:shd w:val="clear" w:color="auto" w:fill="F3F4F6"/>
          </w:tcPr>
          <w:p>
            <w:pPr>
              <w:spacing w:before="80" w:after="80" w:line="230" w:lineRule="exact"/>
              <w:jc w:val="center"/>
            </w:pPr>
            <w:r>
              <w:rPr>
                <w:rFonts w:ascii="Calibri" w:hAnsi="Calibri"/>
                <w:b/>
                <w:i w:val="0"/>
                <w:color w:val="000000"/>
                <w:sz w:val="20"/>
              </w:rPr>
              <w:t>I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Metricas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Target</w:t>
            </w:r>
          </w:p>
        </w:tc>
        <w:tc>
          <w:tcPr>
            <w:tcW w:type="dxa" w:w="2351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Formula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Uptime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Disponibilidade infra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&gt;99.9%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Uptime/Total x100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Patches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Aplicados no prazo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&gt;95%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No prazo/Total x100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 cloud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Por servico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Optimizado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Custo/Servico</w:t>
            </w:r>
          </w:p>
        </w:tc>
      </w:tr>
      <w:tr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IaC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Infra gerida por IaC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&gt;80%</w:t>
            </w:r>
          </w:p>
        </w:tc>
        <w:tc>
          <w:tcPr>
            <w:tcW w:type="dxa" w:w="2351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IaC/Total x100</w:t>
            </w:r>
          </w:p>
        </w:tc>
      </w:tr>
      <w:tr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Incidentes infra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Causados por infra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Decrescente</w:t>
            </w:r>
          </w:p>
        </w:tc>
        <w:tc>
          <w:tcPr>
            <w:tcW w:type="dxa" w:w="2351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Contagem</w:t>
            </w:r>
          </w:p>
        </w:tc>
      </w:tr>
    </w:tbl>
    <w:p>
      <w:r>
        <w:br w:type="page"/>
      </w:r>
    </w:p>
    <w:p>
      <w:pPr>
        <w:spacing w:before="240" w:after="120" w:line="336" w:lineRule="exact"/>
        <w:jc w:val="left"/>
      </w:pPr>
      <w:r>
        <w:rPr>
          <w:rFonts w:ascii="Calibri" w:hAnsi="Calibri"/>
          <w:b/>
          <w:color w:val="1B3A5C"/>
          <w:sz w:val="28"/>
        </w:rPr>
        <w:t>Conceitos</w:t>
      </w:r>
    </w:p>
    <w:tbl>
      <w:tblPr>
        <w:tblW w:type="auto" w:w="0"/>
        <w:tblLook w:firstColumn="1" w:firstRow="1" w:lastColumn="0" w:lastRow="0" w:noHBand="0" w:noVBand="1" w:val="04A0"/>
        <w:tblBorders>
          <w:top w:val="single" w:sz="4" w:space="0" w:color="D1D5DB"/>
          <w:left w:val="single" w:sz="4" w:space="0" w:color="D1D5DB"/>
          <w:bottom w:val="single" w:sz="4" w:space="0" w:color="D1D5DB"/>
          <w:right w:val="single" w:sz="4" w:space="0" w:color="D1D5DB"/>
          <w:insideH w:val="single" w:sz="4" w:space="0" w:color="D1D5DB"/>
          <w:insideV w:val="single" w:sz="4" w:space="0" w:color="D1D5DB"/>
        </w:tblBorders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Conceito</w:t>
            </w:r>
          </w:p>
        </w:tc>
        <w:tc>
          <w:tcPr>
            <w:tcW w:type="dxa" w:w="4703"/>
            <w:shd w:val="clear" w:color="auto" w:fill="1B3A5C"/>
          </w:tcPr>
          <w:p>
            <w:pPr>
              <w:spacing w:before="80" w:after="80"/>
              <w:jc w:val="center"/>
            </w:pPr>
            <w:r>
              <w:rPr>
                <w:rFonts w:ascii="Calibri" w:hAnsi="Calibri"/>
                <w:b/>
                <w:color w:val="FFFFFF"/>
                <w:sz w:val="20"/>
              </w:rPr>
              <w:t>Definicao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IaC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Infrastructure as Code. Gestao de infra-estrutura atraves de codigo.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Cloud hibrido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Combinacao de infra on-prem e cloud publica.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Patch management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Gestao de actualizacoes de seguranca e software.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Decomissao</w:t>
            </w:r>
          </w:p>
        </w:tc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Retirada controlada de componentes de infra-estrutura.</w:t>
            </w:r>
          </w:p>
        </w:tc>
      </w:tr>
      <w:tr>
        <w:tc>
          <w:tcPr>
            <w:tcW w:type="dxa" w:w="4703"/>
            <w:shd w:val="clear" w:color="auto" w:fill="F3F4F6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FinOps</w:t>
            </w:r>
          </w:p>
        </w:tc>
        <w:tc>
          <w:tcPr>
            <w:tcW w:type="dxa" w:w="4703"/>
            <w:shd w:val="clear" w:color="auto" w:fill="FFFFFF"/>
          </w:tcPr>
          <w:p>
            <w:pPr>
              <w:spacing w:before="60" w:after="60"/>
              <w:jc w:val="left"/>
            </w:pPr>
            <w:r>
              <w:rPr>
                <w:rFonts w:ascii="Calibri" w:hAnsi="Calibri"/>
                <w:b w:val="0"/>
                <w:color w:val="000000"/>
                <w:sz w:val="20"/>
              </w:rPr>
              <w:t>Gestao financeira de recursos cloud.</w:t>
            </w:r>
          </w:p>
        </w:tc>
      </w:tr>
    </w:tbl>
    <w:p>
      <w:r>
        <w:br w:type="page"/>
      </w:r>
    </w:p>
    <w:p/>
    <w:p/>
    <w:p/>
    <w:p/>
    <w:p/>
    <w:p/>
    <w:p/>
    <w:p/>
    <w:p>
      <w:pPr>
        <w:spacing w:before="0" w:after="120" w:line="253" w:lineRule="exact"/>
        <w:jc w:val="center"/>
      </w:pPr>
      <w:r>
        <w:rPr>
          <w:rFonts w:ascii="Calibri" w:hAnsi="Calibri"/>
          <w:b w:val="0"/>
          <w:i w:val="0"/>
          <w:color w:val="E5E7EB"/>
          <w:sz w:val="22"/>
        </w:rPr>
        <w:t>────────────────────────────────────────</w:t>
      </w:r>
    </w:p>
    <w:p>
      <w:pPr>
        <w:spacing w:before="0" w:after="120" w:line="230" w:lineRule="exact"/>
        <w:jc w:val="center"/>
      </w:pPr>
      <w:r>
        <w:rPr>
          <w:rFonts w:ascii="Calibri" w:hAnsi="Calibri"/>
          <w:b w:val="0"/>
          <w:i w:val="0"/>
          <w:color w:val="6B7280"/>
          <w:sz w:val="20"/>
        </w:rPr>
        <w:t>(c) 2026 Better Skills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76" w:lineRule="auto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1B3A5C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1B3A5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1B3A5C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