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Relatório de Gestão Anual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Planeamento e estratégia empresarial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Apresentar os resultados e a actividade da empresa no exercício aos sócios/accionistas.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Cumprir a obrigação legal de elaboração de relatório de gestão (art. 65 e 66 do CSC).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https://better-skills.com/templates/kits/planeamento-estrategia/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Mensagem do administrador / gerente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mensagem introdutória sobre o exercício, contexto económico, principais destaques e perspectivas futuras. Tom formal mas acessível, 2-4 parágrafos.]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Resumo do exercício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Ano do exercício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Principais realizações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3-5 destaques]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Principais desafios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Evolução do negócio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Indicador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Ano anterior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Ano actual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Variação (%)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Volume de negócios (EUR)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[Calcular]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EBITDA (EUR)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[Calcular]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Resultado líquido (EUR)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[Calcular]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Nº de colaboradores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[Calcular]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Nº de clientes activos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[Calcular]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Análise por área de actividade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descrição qualitativa do desempenho por segmento de negócio, produto ou área geográfica. Incluir contexto de mercado relevante.]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Recursos humanos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Indicador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Nº de colaboradores no final do exercício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Admissões durante o exercício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Saídas durante o exercício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Horas de formação realizadas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Taxa de absentismo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Investimentos realizados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Investimento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 (EUR)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[Concluído/Em curso]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Perspectivas para o exercício seguinte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Dimensão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Objectivos principais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Projectos estratégicos previstos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Riscos antecipados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Oportunidades a explorar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Proposta de aplicação de resultados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Aplicação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Montante (EUR)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Distribuição de dividendos / lucros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'Não aplicável']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Constituição / reforço de reservas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Reinvestimento na empresa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Resultado transitado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Total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[= Resultado líquido do exercício]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11. Agradecimentos e assinaturas</w:t>
      </w:r>
    </w:p>
    <w:p>
      <w:pPr>
        <w:spacing w:before="120" w:after="60"/>
      </w:pPr>
      <w:r>
        <w:rPr>
          <w:rFonts w:ascii="Calibri" w:hAnsi="Calibri"/>
          <w:sz w:val="22"/>
        </w:rPr>
        <w:t>A gerência / administração agradece o empenho de todos os colaboradores, a confiança dos clientes e parceiros e o apoio dos sócios durante o exercício.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[Gerente / Administrador]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O relatório de gestão é obrigatório para sociedades comerciais (art. 65 e 66 do CSC) e deve ser apresentado na assembleia geral de aprovação de contas, até 31 de Março do ano seguinte.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Relatório de Gestão Anual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