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Registo de Major Incidente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incidentes que causam impacto significativo no negócio e requerem resposta coordenada.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a linha de tempo detalhada, a equipa de resposta e as comunicações enviadas.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rastreabilidade completa desde a detecção até ao fecho do incidente major.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base para revisão pós-incidente (PIR) e identificação de melhorias.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requisitos de auditoria e conformidade regulatória.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https://better-skills.com/gestao-de-incidentes/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do Major Incidente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do Major Incidente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[MIM-AAAAMMDD-001]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Data/Hora de Detecção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Data/Hora de Declaração Major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Estado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Activo / Resolvido / Fechado]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Prioridade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P1 — Major Incidente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Gestor do Major Incidente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Coordenador Técnico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Detalhes do Incidente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Descrição do Incidente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Serviços Afectados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Sistemas/CIs Afectados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de Utilizadores Afectados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Impacto Financeiro Estimado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Impacto na Reputação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Alto / Médio / Baixo]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Causa Raiz Identificada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ou 'Em investigação']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Equipa de Resposta ao Major Incidente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Cargo/Papel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Disponibilidade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do Major Incidente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24/7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Coordenador Técnico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Comunicações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Representante do Negócio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Especialista Técnico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Linha de Tempo do Major Incidente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Data/Hora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Evento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Acções Tomadas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Registo de Comunicações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Data/Hora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Destinatários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Canal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Mensagem Resumida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[Email / SMS / Teams]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[Email / SMS / Teams]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[Email / SMS / Teams]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Resolução e Fecho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Solução Temporária Aplicada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Solução Definitiva Aplicada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Data/Hora de Restauro do Serviço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Duração Total do Incidente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Data/Hora de Fecho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Revisão Pós-Incidente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Sim / Não] — Data: [DD/MM/AAAA]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Registo de Major Incidente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