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SLA com Clientes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os níveis de serviço acordados entre a empresa e 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métricas objectivas, responsabilidades e mecanismos de revisão do acordo.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do acordo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Prestador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Cliente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Designação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NIF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 de início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Duração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12 meses / indeterminado]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 de revisão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Descrição dos serviços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Âmbito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Exclusões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Níveis de serviço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medição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ao pedido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4 horas em dias úteis]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ticket criado vs. primeira resposta]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48 horas]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do serviço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99,5% / mês]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resolução na primeira resposta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&gt;= 70%]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Classificação de prioridades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Definição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resposta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resolução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P1 — Crítica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totalmente inoperacional, impacto total no negócio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hora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P2 — Alta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Degradação severa do serviço, sem workaround viável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horas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 horas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P3 — Média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parcial, workaround disponível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dias úteis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P4 — Baixa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Questão menor, sem impacto operacional imediato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úteis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Responsabilidades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Prestador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os níveis de serviço definidos neste acordo.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Comunicar proactivamente situações que possam afectar o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Emitir relatórios periódicos de desempenho.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Cliente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Reportar incidentes e pedidos pelos canais definidos.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Disponibilizar informação e acesso necessários para resolução.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Nomear um interlocutor de referência para este acordo.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Relatórios 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do relatório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Mensal / Trimestral]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Conteúdo do relatório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Métricas de desempenho, incidentes, tendências, acções de melhoria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Reunião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 — agenda: revisão métricas, problemas recorrentes, ajustes ao acordo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Penalidades e créditos de serviço</w:t>
      </w:r>
    </w:p>
    <w:p>
      <w:pPr>
        <w:spacing w:before="120" w:after="60"/>
      </w:pPr>
      <w:r>
        <w:rPr>
          <w:rFonts w:ascii="Calibri" w:hAnsi="Calibri"/>
          <w:sz w:val="22"/>
        </w:rPr>
        <w:t>Em caso de incumprimento dos níveis de serviço acordados: [definir créditos de serviço, descontos ou penalidades aplicáveis, ou indicar N/A se não aplicável].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Procedimento de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Quando escalar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prestador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cliente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— Técnico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Após expirar tempo de resposta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— Gestor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Após 2x tempo de resolução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 — Direcção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P1 &gt; 8h sem resolução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Alterações e cessação do acordo</w:t>
      </w:r>
    </w:p>
    <w:p>
      <w:pPr>
        <w:spacing w:before="120" w:after="60"/>
      </w:pPr>
      <w:r>
        <w:rPr>
          <w:rFonts w:ascii="Calibri" w:hAnsi="Calibri"/>
          <w:sz w:val="22"/>
        </w:rPr>
        <w:t>Qualquer alteração a este acordo requer acordo mútuo por escrito com antecedência mínima de 30 dias. A cessação pode ser feita por qualquer das partes com aviso prévio de [Preencher] dias.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Defina métricas objectivas e mensuráveis. Um SLA com métricas vagas é pior do que não ter SLA — cria expectativas sem forma de as verificar.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SLA com Clientes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